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C34A8A">
        <w:tc>
          <w:tcPr>
            <w:tcW w:w="509" w:type="dxa"/>
          </w:tcPr>
          <w:p w:rsidR="00C34A8A" w:rsidRDefault="00FD5D49">
            <w:pPr>
              <w:pStyle w:val="affff0"/>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C34A8A" w:rsidRDefault="00FD5D49">
            <w:pPr>
              <w:pStyle w:val="affff0"/>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 xml:space="preserve">35.020 </w:t>
            </w:r>
            <w:r>
              <w:rPr>
                <w:rFonts w:ascii="黑体" w:eastAsia="黑体" w:hAnsi="黑体"/>
                <w:sz w:val="21"/>
                <w:szCs w:val="21"/>
              </w:rPr>
              <w:fldChar w:fldCharType="end"/>
            </w:r>
            <w:bookmarkEnd w:id="0"/>
          </w:p>
        </w:tc>
      </w:tr>
      <w:tr w:rsidR="00C34A8A">
        <w:tc>
          <w:tcPr>
            <w:tcW w:w="509" w:type="dxa"/>
          </w:tcPr>
          <w:p w:rsidR="00C34A8A" w:rsidRDefault="00FD5D49">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p w:rsidR="00C34A8A" w:rsidRDefault="00FD5D49">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1"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L 00</w:t>
            </w:r>
            <w:r>
              <w:rPr>
                <w:rFonts w:ascii="黑体" w:eastAsia="黑体" w:hAnsi="黑体"/>
                <w:sz w:val="21"/>
                <w:szCs w:val="21"/>
              </w:rPr>
              <w:fldChar w:fldCharType="end"/>
            </w:r>
            <w:bookmarkEnd w:id="1"/>
          </w:p>
        </w:tc>
      </w:tr>
    </w:tbl>
    <w:tbl>
      <w:tblPr>
        <w:tblStyle w:val="affff7"/>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C34A8A">
        <w:tc>
          <w:tcPr>
            <w:tcW w:w="6407" w:type="dxa"/>
          </w:tcPr>
          <w:p w:rsidR="00C34A8A" w:rsidRDefault="00FD5D49">
            <w:pPr>
              <w:pStyle w:val="afffff"/>
              <w:framePr w:w="0" w:hRule="auto" w:wrap="auto" w:hAnchor="text" w:xAlign="left" w:yAlign="inline" w:anchorLock="0"/>
              <w:rPr>
                <w:rFonts w:ascii="宋体" w:hAnsi="宋体"/>
                <w:sz w:val="28"/>
                <w:szCs w:val="28"/>
              </w:rPr>
            </w:pPr>
            <w:bookmarkStart w:id="2" w:name="_Hlk26473981"/>
            <w:r>
              <w:rPr>
                <w:noProof/>
              </w:rP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t>3202</w:t>
            </w:r>
            <w:r>
              <w:fldChar w:fldCharType="end"/>
            </w:r>
            <w:bookmarkEnd w:id="3"/>
          </w:p>
        </w:tc>
      </w:tr>
    </w:tbl>
    <w:p w:rsidR="00C34A8A" w:rsidRDefault="00FD5D49">
      <w:pPr>
        <w:pStyle w:val="afffff0"/>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w w:val="100"/>
          <w:sz w:val="48"/>
        </w:rPr>
        <w:t>无锡市</w:t>
      </w:r>
      <w:r>
        <w:rPr>
          <w:rFonts w:ascii="黑体" w:eastAsia="黑体"/>
          <w:b w:val="0"/>
          <w:w w:val="100"/>
          <w:sz w:val="48"/>
        </w:rPr>
        <w:fldChar w:fldCharType="end"/>
      </w:r>
      <w:bookmarkEnd w:id="4"/>
      <w:r>
        <w:rPr>
          <w:rFonts w:ascii="黑体" w:eastAsia="黑体" w:hAnsi="黑体" w:hint="eastAsia"/>
          <w:b w:val="0"/>
          <w:bCs w:val="0"/>
          <w:w w:val="100"/>
          <w:sz w:val="48"/>
          <w:szCs w:val="48"/>
        </w:rPr>
        <w:t>地方标准</w:t>
      </w:r>
    </w:p>
    <w:bookmarkEnd w:id="2"/>
    <w:p w:rsidR="00C34A8A" w:rsidRDefault="00FD5D49">
      <w:pPr>
        <w:pStyle w:val="affffffffff2"/>
        <w:framePr w:wrap="auto"/>
        <w:rPr>
          <w:lang w:val="fr-FR"/>
        </w:rPr>
      </w:pPr>
      <w:r>
        <w:rPr>
          <w:lang w:val="fr-FR"/>
        </w:rPr>
        <w:t>DB</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3202/T</w:t>
      </w:r>
      <w:r>
        <w:fldChar w:fldCharType="end"/>
      </w:r>
      <w:bookmarkEnd w:id="5"/>
      <w:r>
        <w:rPr>
          <w:lang w:val="fr-FR"/>
        </w:rPr>
        <w:t xml:space="preserve"> </w:t>
      </w:r>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rsidR="00C34A8A" w:rsidRDefault="00FD5D49">
      <w:pPr>
        <w:pStyle w:val="affffffffff3"/>
        <w:framePr w:wrap="auto"/>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8"/>
    </w:p>
    <w:p w:rsidR="00C34A8A" w:rsidRDefault="00FD5D49">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rsidR="00C34A8A" w:rsidRDefault="00C34A8A">
      <w:pPr>
        <w:pStyle w:val="afffff0"/>
        <w:framePr w:w="9639" w:h="6976" w:hRule="exact" w:hSpace="0" w:vSpace="0" w:wrap="around" w:hAnchor="page" w:y="6408"/>
        <w:jc w:val="center"/>
        <w:rPr>
          <w:rFonts w:ascii="黑体" w:eastAsia="黑体" w:hAnsi="黑体"/>
          <w:b w:val="0"/>
          <w:bCs w:val="0"/>
          <w:w w:val="100"/>
        </w:rPr>
      </w:pPr>
    </w:p>
    <w:p w:rsidR="00C34A8A" w:rsidRDefault="00FD5D49">
      <w:pPr>
        <w:pStyle w:val="affffffffff4"/>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市场监管大数据中心平台建设基本要求</w:t>
      </w:r>
      <w:r>
        <w:fldChar w:fldCharType="end"/>
      </w:r>
      <w:bookmarkEnd w:id="9"/>
    </w:p>
    <w:p w:rsidR="00C34A8A" w:rsidRDefault="00C34A8A">
      <w:pPr>
        <w:framePr w:w="9639" w:h="6974" w:hRule="exact" w:wrap="around" w:vAnchor="page" w:hAnchor="page" w:x="1419" w:y="6408" w:anchorLock="1"/>
        <w:ind w:left="-1418"/>
      </w:pPr>
    </w:p>
    <w:p w:rsidR="00C34A8A" w:rsidRDefault="00FD5D49">
      <w:pPr>
        <w:pStyle w:val="afffffff8"/>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点击此处添加标准名称的英文译名"/>
            </w:textInput>
          </w:ffData>
        </w:fldChar>
      </w:r>
      <w:bookmarkStart w:id="10"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Pr>
          <w:rFonts w:ascii="黑体" w:eastAsia="黑体" w:hAnsi="黑体"/>
          <w:szCs w:val="28"/>
        </w:rPr>
        <w:t xml:space="preserve">Basic requirements of big data center platform construction for market </w:t>
      </w:r>
      <w:r>
        <w:rPr>
          <w:rFonts w:ascii="黑体" w:eastAsia="黑体" w:hAnsi="黑体"/>
          <w:szCs w:val="28"/>
        </w:rPr>
        <w:t>supervision</w:t>
      </w:r>
      <w:r>
        <w:rPr>
          <w:rFonts w:ascii="黑体" w:eastAsia="黑体" w:hAnsi="黑体"/>
          <w:szCs w:val="28"/>
        </w:rPr>
        <w:fldChar w:fldCharType="end"/>
      </w:r>
      <w:bookmarkEnd w:id="10"/>
    </w:p>
    <w:p w:rsidR="00C34A8A" w:rsidRDefault="00C34A8A">
      <w:pPr>
        <w:framePr w:w="9639" w:h="6974" w:hRule="exact" w:wrap="around" w:vAnchor="page" w:hAnchor="page" w:x="1419" w:y="6408" w:anchorLock="1"/>
        <w:spacing w:line="760" w:lineRule="exact"/>
        <w:ind w:left="-1418"/>
      </w:pPr>
    </w:p>
    <w:p w:rsidR="00C34A8A" w:rsidRDefault="00C34A8A">
      <w:pPr>
        <w:pStyle w:val="afffffff8"/>
        <w:framePr w:w="9639" w:h="6974" w:hRule="exact" w:wrap="around" w:vAnchor="page" w:hAnchor="page" w:x="1419" w:y="6408" w:anchorLock="1"/>
        <w:textAlignment w:val="bottom"/>
        <w:rPr>
          <w:rFonts w:eastAsia="黑体"/>
          <w:szCs w:val="28"/>
        </w:rPr>
      </w:pPr>
    </w:p>
    <w:p w:rsidR="00C34A8A" w:rsidRDefault="00FD5D49">
      <w:pPr>
        <w:pStyle w:val="afffffff8"/>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r>
      <w:r>
        <w:rPr>
          <w:sz w:val="24"/>
          <w:szCs w:val="28"/>
        </w:rPr>
        <w:fldChar w:fldCharType="separate"/>
      </w:r>
      <w:r>
        <w:rPr>
          <w:sz w:val="24"/>
          <w:szCs w:val="28"/>
        </w:rPr>
        <w:fldChar w:fldCharType="end"/>
      </w:r>
      <w:bookmarkEnd w:id="11"/>
    </w:p>
    <w:p w:rsidR="00C34A8A" w:rsidRDefault="00FD5D49">
      <w:pPr>
        <w:pStyle w:val="afffffff8"/>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2"/>
    </w:p>
    <w:p w:rsidR="00C34A8A" w:rsidRDefault="00FD5D49">
      <w:pPr>
        <w:pStyle w:val="afffffff8"/>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r>
      <w:r>
        <w:rPr>
          <w:b/>
          <w:sz w:val="21"/>
          <w:szCs w:val="28"/>
        </w:rPr>
        <w:fldChar w:fldCharType="separate"/>
      </w:r>
      <w:r>
        <w:rPr>
          <w:b/>
          <w:sz w:val="21"/>
          <w:szCs w:val="28"/>
        </w:rPr>
        <w:fldChar w:fldCharType="end"/>
      </w:r>
      <w:bookmarkEnd w:id="13"/>
    </w:p>
    <w:p w:rsidR="00C34A8A" w:rsidRDefault="00FD5D49">
      <w:pPr>
        <w:pStyle w:val="affffffffff0"/>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hint="eastAsia"/>
        </w:rPr>
        <w:t>发布</w:t>
      </w:r>
    </w:p>
    <w:p w:rsidR="00C34A8A" w:rsidRDefault="00FD5D49">
      <w:pPr>
        <w:pStyle w:val="affffffffff1"/>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rPr>
          <w:rFonts w:hint="eastAsia"/>
        </w:rPr>
        <w:t>实施</w:t>
      </w:r>
    </w:p>
    <w:p w:rsidR="00C34A8A" w:rsidRDefault="00FD5D49">
      <w:pPr>
        <w:pStyle w:val="affffffff8"/>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无锡市市场监督管理局</w:t>
      </w:r>
      <w:r>
        <w:rPr>
          <w:rFonts w:hAnsi="黑体"/>
          <w:w w:val="100"/>
          <w:sz w:val="28"/>
        </w:rPr>
        <w:fldChar w:fldCharType="end"/>
      </w:r>
      <w:bookmarkEnd w:id="20"/>
      <w:r>
        <w:rPr>
          <w:rFonts w:ascii="Times New Roman"/>
          <w:w w:val="100"/>
          <w:sz w:val="28"/>
        </w:rPr>
        <w:t>  </w:t>
      </w:r>
      <w:r>
        <w:rPr>
          <w:rStyle w:val="afffffffffff9"/>
          <w:rFonts w:hAnsi="黑体" w:hint="eastAsia"/>
          <w:position w:val="0"/>
        </w:rPr>
        <w:t>发</w:t>
      </w:r>
      <w:r>
        <w:rPr>
          <w:rStyle w:val="afffffffffff9"/>
          <w:rFonts w:hAnsi="黑体" w:hint="eastAsia"/>
          <w:spacing w:val="0"/>
          <w:position w:val="0"/>
        </w:rPr>
        <w:t>布</w:t>
      </w:r>
    </w:p>
    <w:p w:rsidR="00C34A8A" w:rsidRDefault="00FD5D49">
      <w:pPr>
        <w:rPr>
          <w:rFonts w:ascii="宋体" w:hAnsi="宋体"/>
          <w:sz w:val="28"/>
          <w:szCs w:val="28"/>
        </w:rPr>
        <w:sectPr w:rsidR="00C34A8A">
          <w:headerReference w:type="default" r:id="rId10"/>
          <w:footerReference w:type="even" r:id="rId11"/>
          <w:headerReference w:type="first" r:id="rId12"/>
          <w:footerReference w:type="first" r:id="rId13"/>
          <w:type w:val="continuous"/>
          <w:pgSz w:w="11906" w:h="16838"/>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rsidR="00C34A8A" w:rsidRDefault="00FD5D49">
      <w:pPr>
        <w:pStyle w:val="a6"/>
        <w:spacing w:before="560" w:after="468"/>
      </w:pPr>
      <w:bookmarkStart w:id="21" w:name="BookMark2"/>
      <w:r>
        <w:rPr>
          <w:spacing w:val="320"/>
        </w:rPr>
        <w:lastRenderedPageBreak/>
        <w:t>前</w:t>
      </w:r>
      <w:r>
        <w:t>言</w:t>
      </w:r>
    </w:p>
    <w:p w:rsidR="00C34A8A" w:rsidRDefault="00FD5D49">
      <w:pPr>
        <w:pStyle w:val="afffff5"/>
        <w:ind w:firstLine="420"/>
      </w:pPr>
      <w:r>
        <w:rPr>
          <w:rFonts w:hint="eastAsia"/>
        </w:rPr>
        <w:t>本</w:t>
      </w:r>
      <w:r>
        <w:rPr>
          <w:rFonts w:hint="eastAsia"/>
        </w:rPr>
        <w:t>文件按照</w:t>
      </w:r>
      <w:r>
        <w:rPr>
          <w:rFonts w:hint="eastAsia"/>
        </w:rPr>
        <w:t>GB/T 1.1</w:t>
      </w:r>
      <w:r>
        <w:rPr>
          <w:rFonts w:hint="eastAsia"/>
        </w:rPr>
        <w:t>—</w:t>
      </w:r>
      <w:r>
        <w:rPr>
          <w:rFonts w:hint="eastAsia"/>
        </w:rPr>
        <w:t>2020</w:t>
      </w:r>
      <w:r>
        <w:rPr>
          <w:rFonts w:hint="eastAsia"/>
        </w:rPr>
        <w:t>《标准化工作导则</w:t>
      </w:r>
      <w:r>
        <w:rPr>
          <w:rFonts w:hint="eastAsia"/>
        </w:rPr>
        <w:t xml:space="preserve">  </w:t>
      </w:r>
      <w:r>
        <w:rPr>
          <w:rFonts w:hint="eastAsia"/>
        </w:rPr>
        <w:t>第</w:t>
      </w:r>
      <w:r>
        <w:rPr>
          <w:rFonts w:hint="eastAsia"/>
        </w:rPr>
        <w:t>1</w:t>
      </w:r>
      <w:r>
        <w:rPr>
          <w:rFonts w:hint="eastAsia"/>
        </w:rPr>
        <w:t>部分：标准化文件的结构和起草规则》的规定起草。</w:t>
      </w:r>
    </w:p>
    <w:p w:rsidR="00C34A8A" w:rsidRDefault="00FD5D49">
      <w:pPr>
        <w:pStyle w:val="afffff5"/>
        <w:ind w:firstLine="420"/>
      </w:pPr>
      <w:r>
        <w:rPr>
          <w:rFonts w:hint="eastAsia"/>
        </w:rPr>
        <w:t>请注意本文件的某些内容可能涉及专利。本文件的发布机构不承担识别专利的责任。</w:t>
      </w:r>
    </w:p>
    <w:p w:rsidR="00C34A8A" w:rsidRDefault="00FD5D49">
      <w:pPr>
        <w:pStyle w:val="afffff5"/>
        <w:ind w:firstLine="420"/>
      </w:pPr>
      <w:r>
        <w:rPr>
          <w:rFonts w:hint="eastAsia"/>
        </w:rPr>
        <w:t>本文件由无锡市市场监督管理局提出并归口。</w:t>
      </w:r>
    </w:p>
    <w:p w:rsidR="00C34A8A" w:rsidRDefault="00FD5D49">
      <w:pPr>
        <w:pStyle w:val="afffff5"/>
        <w:ind w:firstLine="420"/>
      </w:pPr>
      <w:r>
        <w:rPr>
          <w:rFonts w:hint="eastAsia"/>
        </w:rPr>
        <w:t>本文件起草单位：无锡市市场监督管理局、</w:t>
      </w:r>
      <w:proofErr w:type="gramStart"/>
      <w:r>
        <w:rPr>
          <w:rFonts w:hint="eastAsia"/>
        </w:rPr>
        <w:t>武汉东方赛思软件</w:t>
      </w:r>
      <w:proofErr w:type="gramEnd"/>
      <w:r>
        <w:rPr>
          <w:rFonts w:hint="eastAsia"/>
        </w:rPr>
        <w:t>股份有限公司。</w:t>
      </w:r>
    </w:p>
    <w:p w:rsidR="00C34A8A" w:rsidRDefault="00FD5D49">
      <w:pPr>
        <w:pStyle w:val="afffff5"/>
        <w:ind w:firstLine="420"/>
      </w:pPr>
      <w:r>
        <w:rPr>
          <w:rFonts w:hint="eastAsia"/>
        </w:rPr>
        <w:t>本文件主要起草人：赵莉、邹伟明、邓捷、沈志良、谢俊杰。</w:t>
      </w:r>
    </w:p>
    <w:p w:rsidR="00C34A8A" w:rsidRDefault="00C34A8A">
      <w:pPr>
        <w:pStyle w:val="afffff5"/>
        <w:ind w:firstLine="420"/>
      </w:pPr>
    </w:p>
    <w:p w:rsidR="00C34A8A" w:rsidRDefault="00C34A8A">
      <w:pPr>
        <w:pStyle w:val="afffff5"/>
        <w:ind w:firstLine="420"/>
        <w:sectPr w:rsidR="00C34A8A">
          <w:headerReference w:type="even" r:id="rId14"/>
          <w:headerReference w:type="default" r:id="rId15"/>
          <w:footerReference w:type="even" r:id="rId16"/>
          <w:footerReference w:type="default" r:id="rId17"/>
          <w:pgSz w:w="11906" w:h="16838"/>
          <w:pgMar w:top="1928" w:right="1134" w:bottom="1134" w:left="1134" w:header="1418" w:footer="1134" w:gutter="284"/>
          <w:pgNumType w:fmt="upperRoman" w:start="1"/>
          <w:cols w:space="425"/>
          <w:formProt w:val="0"/>
          <w:docGrid w:type="lines" w:linePitch="312"/>
        </w:sectPr>
      </w:pPr>
    </w:p>
    <w:p w:rsidR="00C34A8A" w:rsidRDefault="00C34A8A">
      <w:pPr>
        <w:spacing w:line="20" w:lineRule="exact"/>
        <w:jc w:val="center"/>
        <w:rPr>
          <w:rFonts w:ascii="黑体" w:eastAsia="黑体" w:hAnsi="黑体"/>
          <w:sz w:val="32"/>
          <w:szCs w:val="32"/>
        </w:rPr>
      </w:pPr>
      <w:bookmarkStart w:id="22" w:name="BookMark4"/>
      <w:bookmarkEnd w:id="21"/>
    </w:p>
    <w:p w:rsidR="00C34A8A" w:rsidRDefault="00C34A8A">
      <w:pPr>
        <w:spacing w:line="20" w:lineRule="exact"/>
        <w:jc w:val="center"/>
        <w:rPr>
          <w:rFonts w:ascii="黑体" w:eastAsia="黑体" w:hAnsi="黑体"/>
          <w:sz w:val="32"/>
          <w:szCs w:val="32"/>
        </w:rPr>
      </w:pPr>
    </w:p>
    <w:bookmarkStart w:id="23" w:name="NEW_STAND_NAME" w:displacedByCustomXml="next"/>
    <w:sdt>
      <w:sdtPr>
        <w:tag w:val="NEW_STAND_NAME"/>
        <w:id w:val="595910757"/>
        <w:lock w:val="sdtLocked"/>
        <w:placeholder>
          <w:docPart w:val="8F0B1126D5184D1C984DA7B9234FB958"/>
        </w:placeholder>
      </w:sdtPr>
      <w:sdtEndPr/>
      <w:sdtContent>
        <w:p w:rsidR="00C34A8A" w:rsidRDefault="00FD5D49">
          <w:pPr>
            <w:pStyle w:val="afffffffff8"/>
            <w:spacing w:beforeLines="1" w:before="3" w:afterLines="220" w:after="686"/>
          </w:pPr>
          <w:r>
            <w:rPr>
              <w:rFonts w:hint="eastAsia"/>
            </w:rPr>
            <w:t>市场监管大数据中心平台建设基本要求</w:t>
          </w:r>
        </w:p>
      </w:sdtContent>
    </w:sdt>
    <w:p w:rsidR="00C34A8A" w:rsidRDefault="00FD5D49">
      <w:pPr>
        <w:pStyle w:val="affc"/>
        <w:spacing w:before="312" w:after="312"/>
      </w:pPr>
      <w:bookmarkStart w:id="24" w:name="_Toc26648465"/>
      <w:bookmarkStart w:id="25" w:name="_Toc17233325"/>
      <w:bookmarkStart w:id="26" w:name="_Toc26986530"/>
      <w:bookmarkStart w:id="27" w:name="_Toc26986771"/>
      <w:bookmarkStart w:id="28" w:name="_Toc97191423"/>
      <w:bookmarkStart w:id="29" w:name="_Toc17233333"/>
      <w:bookmarkStart w:id="30" w:name="_Toc24884218"/>
      <w:bookmarkStart w:id="31" w:name="_Toc24884211"/>
      <w:bookmarkStart w:id="32" w:name="_Toc26718930"/>
      <w:bookmarkEnd w:id="23"/>
      <w:r>
        <w:rPr>
          <w:rFonts w:hint="eastAsia"/>
        </w:rPr>
        <w:t>范围</w:t>
      </w:r>
      <w:bookmarkEnd w:id="24"/>
      <w:bookmarkEnd w:id="25"/>
      <w:bookmarkEnd w:id="26"/>
      <w:bookmarkEnd w:id="27"/>
      <w:bookmarkEnd w:id="28"/>
      <w:bookmarkEnd w:id="29"/>
      <w:bookmarkEnd w:id="30"/>
      <w:bookmarkEnd w:id="31"/>
      <w:bookmarkEnd w:id="32"/>
    </w:p>
    <w:p w:rsidR="00C34A8A" w:rsidRDefault="00FD5D49">
      <w:pPr>
        <w:pStyle w:val="afffff5"/>
        <w:ind w:firstLine="420"/>
      </w:pPr>
      <w:bookmarkStart w:id="33" w:name="_Toc17233334"/>
      <w:bookmarkStart w:id="34" w:name="_Toc24884219"/>
      <w:bookmarkStart w:id="35" w:name="_Toc26648466"/>
      <w:bookmarkStart w:id="36" w:name="_Toc24884212"/>
      <w:bookmarkStart w:id="37" w:name="_Toc17233326"/>
      <w:r>
        <w:rPr>
          <w:rFonts w:hint="eastAsia"/>
        </w:rPr>
        <w:t>本文件规定了市场监管大数据中心平台建设的系统架构、总体技术、系统功能、信息安全、运维管理、</w:t>
      </w:r>
      <w:r>
        <w:t>评价与改进</w:t>
      </w:r>
      <w:r>
        <w:rPr>
          <w:rFonts w:hint="eastAsia"/>
        </w:rPr>
        <w:t>的要求。</w:t>
      </w:r>
    </w:p>
    <w:p w:rsidR="00C34A8A" w:rsidRDefault="00FD5D49">
      <w:pPr>
        <w:pStyle w:val="afffff5"/>
        <w:ind w:firstLine="420"/>
      </w:pPr>
      <w:r>
        <w:rPr>
          <w:rFonts w:hint="eastAsia"/>
        </w:rPr>
        <w:t>本文件适用于无锡市域范围内市场监管大数据中心平台的建设或者评价。</w:t>
      </w:r>
    </w:p>
    <w:p w:rsidR="00C34A8A" w:rsidRDefault="00FD5D49">
      <w:pPr>
        <w:pStyle w:val="affc"/>
        <w:spacing w:before="312" w:after="312"/>
      </w:pPr>
      <w:bookmarkStart w:id="38" w:name="_Toc26986772"/>
      <w:bookmarkStart w:id="39" w:name="_Toc97191424"/>
      <w:bookmarkStart w:id="40" w:name="_Toc26986531"/>
      <w:bookmarkStart w:id="41" w:name="_Toc26718931"/>
      <w:r>
        <w:rPr>
          <w:rFonts w:hint="eastAsia"/>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7EB45DC881E2420BA4EFC1AE070EBF81"/>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C34A8A" w:rsidRDefault="00FD5D49">
          <w:pPr>
            <w:pStyle w:val="afffff5"/>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C34A8A" w:rsidRDefault="00FD5D49">
      <w:pPr>
        <w:pStyle w:val="afffff5"/>
        <w:ind w:firstLine="420"/>
      </w:pPr>
      <w:r>
        <w:rPr>
          <w:rFonts w:hint="eastAsia"/>
        </w:rPr>
        <w:t xml:space="preserve">GB/T 2260  </w:t>
      </w:r>
      <w:r>
        <w:rPr>
          <w:rFonts w:hint="eastAsia"/>
        </w:rPr>
        <w:t>中华人民共和国行政区划代码</w:t>
      </w:r>
    </w:p>
    <w:p w:rsidR="00C34A8A" w:rsidRDefault="00FD5D49">
      <w:pPr>
        <w:pStyle w:val="afffff5"/>
        <w:ind w:firstLine="420"/>
      </w:pPr>
      <w:r>
        <w:rPr>
          <w:rFonts w:hint="eastAsia"/>
        </w:rPr>
        <w:t xml:space="preserve">GB/T 2261.1  </w:t>
      </w:r>
      <w:r>
        <w:rPr>
          <w:rFonts w:hint="eastAsia"/>
        </w:rPr>
        <w:t>个人基本信息分类与代码</w:t>
      </w:r>
      <w:r>
        <w:rPr>
          <w:rFonts w:hint="eastAsia"/>
        </w:rPr>
        <w:t xml:space="preserve"> </w:t>
      </w:r>
      <w:r>
        <w:rPr>
          <w:rFonts w:hint="eastAsia"/>
        </w:rPr>
        <w:t>第</w:t>
      </w:r>
      <w:r>
        <w:rPr>
          <w:rFonts w:hint="eastAsia"/>
        </w:rPr>
        <w:t>1</w:t>
      </w:r>
      <w:r>
        <w:rPr>
          <w:rFonts w:hint="eastAsia"/>
        </w:rPr>
        <w:t>部分：人的性别代码</w:t>
      </w:r>
      <w:r>
        <w:rPr>
          <w:rFonts w:hint="eastAsia"/>
        </w:rPr>
        <w:t xml:space="preserve">  </w:t>
      </w:r>
    </w:p>
    <w:p w:rsidR="00C34A8A" w:rsidRDefault="00FD5D49">
      <w:pPr>
        <w:pStyle w:val="afffff5"/>
        <w:ind w:firstLine="420"/>
      </w:pPr>
      <w:r>
        <w:t xml:space="preserve">GB/T 2659.1  </w:t>
      </w:r>
      <w:r>
        <w:rPr>
          <w:rFonts w:hint="eastAsia"/>
        </w:rPr>
        <w:t>世界各国和地区及其行政区划名称代码</w:t>
      </w:r>
      <w:r>
        <w:rPr>
          <w:rFonts w:hint="eastAsia"/>
        </w:rPr>
        <w:t xml:space="preserve"> </w:t>
      </w:r>
      <w:r>
        <w:rPr>
          <w:rFonts w:hint="eastAsia"/>
        </w:rPr>
        <w:t>第</w:t>
      </w:r>
      <w:r>
        <w:rPr>
          <w:rFonts w:hint="eastAsia"/>
        </w:rPr>
        <w:t>1</w:t>
      </w:r>
      <w:r>
        <w:rPr>
          <w:rFonts w:hint="eastAsia"/>
        </w:rPr>
        <w:t>部分：国家和地区代码</w:t>
      </w:r>
    </w:p>
    <w:p w:rsidR="00C34A8A" w:rsidRDefault="00FD5D49">
      <w:pPr>
        <w:pStyle w:val="afffff5"/>
        <w:ind w:firstLine="420"/>
      </w:pPr>
      <w:r>
        <w:rPr>
          <w:rFonts w:hint="eastAsia"/>
        </w:rPr>
        <w:t>GB/T 3304</w:t>
      </w:r>
      <w:r>
        <w:t>-</w:t>
      </w:r>
      <w:r>
        <w:rPr>
          <w:rFonts w:hint="eastAsia"/>
        </w:rPr>
        <w:t xml:space="preserve">1991  </w:t>
      </w:r>
      <w:r>
        <w:rPr>
          <w:rFonts w:hint="eastAsia"/>
        </w:rPr>
        <w:t>中国各民族名称的罗马字母拼写法和代码</w:t>
      </w:r>
      <w:r>
        <w:rPr>
          <w:rFonts w:hint="eastAsia"/>
        </w:rPr>
        <w:t xml:space="preserve">  </w:t>
      </w:r>
    </w:p>
    <w:p w:rsidR="00C34A8A" w:rsidRDefault="00FD5D49">
      <w:pPr>
        <w:pStyle w:val="afffff5"/>
        <w:ind w:firstLine="420"/>
      </w:pPr>
      <w:r>
        <w:rPr>
          <w:rFonts w:hint="eastAsia"/>
        </w:rPr>
        <w:t xml:space="preserve">GB/T 4754  </w:t>
      </w:r>
      <w:r>
        <w:rPr>
          <w:rFonts w:hint="eastAsia"/>
        </w:rPr>
        <w:t>国民经济行业分类</w:t>
      </w:r>
      <w:r>
        <w:rPr>
          <w:rFonts w:hint="eastAsia"/>
        </w:rPr>
        <w:t xml:space="preserve">  </w:t>
      </w:r>
    </w:p>
    <w:p w:rsidR="00C34A8A" w:rsidRDefault="00FD5D49">
      <w:pPr>
        <w:pStyle w:val="afffff5"/>
        <w:ind w:firstLine="420"/>
      </w:pPr>
      <w:r>
        <w:rPr>
          <w:rFonts w:hint="eastAsia"/>
        </w:rPr>
        <w:t xml:space="preserve">GB/T 4762  </w:t>
      </w:r>
      <w:r>
        <w:rPr>
          <w:rFonts w:hint="eastAsia"/>
        </w:rPr>
        <w:t>政治面貌代码</w:t>
      </w:r>
      <w:r>
        <w:rPr>
          <w:rFonts w:hint="eastAsia"/>
        </w:rPr>
        <w:t xml:space="preserve">  </w:t>
      </w:r>
    </w:p>
    <w:p w:rsidR="00C34A8A" w:rsidRDefault="00FD5D49">
      <w:pPr>
        <w:pStyle w:val="afffff5"/>
        <w:ind w:firstLine="420"/>
      </w:pPr>
      <w:r>
        <w:rPr>
          <w:rFonts w:hint="eastAsia"/>
        </w:rPr>
        <w:t xml:space="preserve">GB 11714  </w:t>
      </w:r>
      <w:r>
        <w:rPr>
          <w:rFonts w:hint="eastAsia"/>
        </w:rPr>
        <w:t>全国组织机构代码编制规则</w:t>
      </w:r>
      <w:r>
        <w:rPr>
          <w:rFonts w:hint="eastAsia"/>
        </w:rPr>
        <w:t xml:space="preserve">  </w:t>
      </w:r>
    </w:p>
    <w:p w:rsidR="00C34A8A" w:rsidRDefault="00FD5D49">
      <w:pPr>
        <w:pStyle w:val="afffff5"/>
        <w:ind w:firstLine="420"/>
      </w:pPr>
      <w:r>
        <w:rPr>
          <w:rFonts w:hint="eastAsia"/>
        </w:rPr>
        <w:t xml:space="preserve">GB/T 12403  </w:t>
      </w:r>
      <w:r>
        <w:rPr>
          <w:rFonts w:hint="eastAsia"/>
        </w:rPr>
        <w:t>干部职务名称代码</w:t>
      </w:r>
      <w:r>
        <w:rPr>
          <w:rFonts w:hint="eastAsia"/>
        </w:rPr>
        <w:t xml:space="preserve">  </w:t>
      </w:r>
    </w:p>
    <w:p w:rsidR="00C34A8A" w:rsidRDefault="00FD5D49">
      <w:pPr>
        <w:pStyle w:val="afffff5"/>
        <w:ind w:firstLine="420"/>
      </w:pPr>
      <w:r>
        <w:rPr>
          <w:rFonts w:hint="eastAsia"/>
        </w:rPr>
        <w:t xml:space="preserve">GB/T 12406  </w:t>
      </w:r>
      <w:r>
        <w:rPr>
          <w:rFonts w:hint="eastAsia"/>
        </w:rPr>
        <w:t>表示货币的代码</w:t>
      </w:r>
      <w:r>
        <w:rPr>
          <w:rFonts w:hint="eastAsia"/>
        </w:rPr>
        <w:t xml:space="preserve">  </w:t>
      </w:r>
    </w:p>
    <w:p w:rsidR="00C34A8A" w:rsidRDefault="00FD5D49">
      <w:pPr>
        <w:pStyle w:val="afffff5"/>
        <w:ind w:firstLine="420"/>
      </w:pPr>
      <w:r>
        <w:rPr>
          <w:rFonts w:hint="eastAsia"/>
        </w:rPr>
        <w:t xml:space="preserve">GB/T 22239-2019  </w:t>
      </w:r>
      <w:r>
        <w:rPr>
          <w:rFonts w:hint="eastAsia"/>
        </w:rPr>
        <w:t>信息安全技术</w:t>
      </w:r>
      <w:r>
        <w:rPr>
          <w:rFonts w:hint="eastAsia"/>
        </w:rPr>
        <w:t xml:space="preserve"> </w:t>
      </w:r>
      <w:r>
        <w:rPr>
          <w:rFonts w:hint="eastAsia"/>
        </w:rPr>
        <w:t>网络安全等级保护基本要求</w:t>
      </w:r>
    </w:p>
    <w:p w:rsidR="00C34A8A" w:rsidRDefault="00FD5D49">
      <w:pPr>
        <w:pStyle w:val="afffff5"/>
        <w:ind w:firstLine="420"/>
      </w:pPr>
      <w:r>
        <w:rPr>
          <w:rFonts w:hint="eastAsia"/>
        </w:rPr>
        <w:t>GB/T 28827.3-201</w:t>
      </w:r>
      <w:r>
        <w:t>2</w:t>
      </w:r>
      <w:r>
        <w:rPr>
          <w:rFonts w:hint="eastAsia"/>
        </w:rPr>
        <w:t xml:space="preserve">  </w:t>
      </w:r>
      <w:r>
        <w:rPr>
          <w:rFonts w:ascii="Segoe UI" w:hAnsi="Segoe UI" w:cs="Segoe UI" w:hint="eastAsia"/>
        </w:rPr>
        <w:t>信息技术服务</w:t>
      </w:r>
      <w:r>
        <w:rPr>
          <w:rFonts w:ascii="Segoe UI" w:hAnsi="Segoe UI" w:cs="Segoe UI" w:hint="eastAsia"/>
        </w:rPr>
        <w:t xml:space="preserve"> </w:t>
      </w:r>
      <w:r>
        <w:rPr>
          <w:rFonts w:ascii="Segoe UI" w:hAnsi="Segoe UI" w:cs="Segoe UI" w:hint="eastAsia"/>
        </w:rPr>
        <w:t>运行维护</w:t>
      </w:r>
      <w:r>
        <w:rPr>
          <w:rFonts w:ascii="Segoe UI" w:hAnsi="Segoe UI" w:cs="Segoe UI" w:hint="eastAsia"/>
        </w:rPr>
        <w:t xml:space="preserve"> </w:t>
      </w:r>
      <w:r>
        <w:rPr>
          <w:rFonts w:ascii="Segoe UI" w:hAnsi="Segoe UI" w:cs="Segoe UI" w:hint="eastAsia"/>
        </w:rPr>
        <w:t>第</w:t>
      </w:r>
      <w:r>
        <w:rPr>
          <w:rFonts w:ascii="Segoe UI" w:hAnsi="Segoe UI" w:cs="Segoe UI" w:hint="eastAsia"/>
        </w:rPr>
        <w:t>3</w:t>
      </w:r>
      <w:r>
        <w:rPr>
          <w:rFonts w:ascii="Segoe UI" w:hAnsi="Segoe UI" w:cs="Segoe UI" w:hint="eastAsia"/>
        </w:rPr>
        <w:t>部分：应急响应规范</w:t>
      </w:r>
    </w:p>
    <w:p w:rsidR="00C34A8A" w:rsidRDefault="00FD5D49">
      <w:pPr>
        <w:pStyle w:val="afffff5"/>
        <w:ind w:firstLine="420"/>
      </w:pPr>
      <w:r>
        <w:rPr>
          <w:rFonts w:hint="eastAsia"/>
        </w:rPr>
        <w:t xml:space="preserve">GB/T 28827.6-2019  </w:t>
      </w:r>
      <w:r>
        <w:rPr>
          <w:rFonts w:hint="eastAsia"/>
        </w:rPr>
        <w:t>信息技术服务</w:t>
      </w:r>
      <w:r>
        <w:rPr>
          <w:rFonts w:hint="eastAsia"/>
        </w:rPr>
        <w:t xml:space="preserve"> </w:t>
      </w:r>
      <w:r>
        <w:rPr>
          <w:rFonts w:hint="eastAsia"/>
        </w:rPr>
        <w:t>运行维护</w:t>
      </w:r>
      <w:r>
        <w:rPr>
          <w:rFonts w:hint="eastAsia"/>
        </w:rPr>
        <w:t xml:space="preserve"> </w:t>
      </w:r>
      <w:r>
        <w:rPr>
          <w:rFonts w:hint="eastAsia"/>
        </w:rPr>
        <w:t>第</w:t>
      </w:r>
      <w:r>
        <w:rPr>
          <w:rFonts w:hint="eastAsia"/>
        </w:rPr>
        <w:t>6</w:t>
      </w:r>
      <w:r>
        <w:rPr>
          <w:rFonts w:hint="eastAsia"/>
        </w:rPr>
        <w:t>部分：应用系统服务要求</w:t>
      </w:r>
    </w:p>
    <w:p w:rsidR="00C34A8A" w:rsidRDefault="00FD5D49">
      <w:pPr>
        <w:pStyle w:val="afffff5"/>
        <w:ind w:firstLine="420"/>
      </w:pPr>
      <w:r>
        <w:rPr>
          <w:rFonts w:hint="eastAsia"/>
        </w:rPr>
        <w:t xml:space="preserve">GB 32100-2015  </w:t>
      </w:r>
      <w:r>
        <w:rPr>
          <w:rFonts w:hint="eastAsia"/>
        </w:rPr>
        <w:t>法人和其他组织统一社会信用代码编码规则</w:t>
      </w:r>
      <w:r>
        <w:rPr>
          <w:rFonts w:hint="eastAsia"/>
        </w:rPr>
        <w:t xml:space="preserve">  </w:t>
      </w:r>
    </w:p>
    <w:p w:rsidR="00C34A8A" w:rsidRDefault="00FD5D49">
      <w:pPr>
        <w:pStyle w:val="affc"/>
        <w:spacing w:before="312" w:after="312"/>
      </w:pPr>
      <w:bookmarkStart w:id="42" w:name="_Toc97191425"/>
      <w:r>
        <w:rPr>
          <w:rFonts w:hint="eastAsia"/>
          <w:szCs w:val="21"/>
        </w:rPr>
        <w:t>术语和定义</w:t>
      </w:r>
      <w:bookmarkEnd w:id="42"/>
    </w:p>
    <w:bookmarkStart w:id="43" w:name="_Toc26986532" w:displacedByCustomXml="next"/>
    <w:bookmarkEnd w:id="43" w:displacedByCustomXml="next"/>
    <w:sdt>
      <w:sdtPr>
        <w:id w:val="-1909835108"/>
        <w:placeholder>
          <w:docPart w:val="344AC2133E6B4B54A3ADFF8AAF93D82C"/>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C34A8A" w:rsidRDefault="00FD5D49">
          <w:pPr>
            <w:pStyle w:val="afffff5"/>
            <w:ind w:firstLine="420"/>
          </w:pPr>
          <w:r>
            <w:rPr>
              <w:rFonts w:hint="eastAsia"/>
            </w:rPr>
            <w:t>下列术语和定义适用于本文件。</w:t>
          </w:r>
        </w:p>
      </w:sdtContent>
    </w:sdt>
    <w:p w:rsidR="00C34A8A" w:rsidRDefault="00FD5D49">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数据接入</w:t>
      </w:r>
      <w:r>
        <w:rPr>
          <w:rFonts w:ascii="黑体" w:eastAsia="黑体" w:hAnsi="黑体" w:hint="eastAsia"/>
        </w:rPr>
        <w:t xml:space="preserve">  </w:t>
      </w:r>
      <w:r>
        <w:rPr>
          <w:rFonts w:ascii="黑体" w:eastAsia="黑体" w:hAnsi="黑体"/>
        </w:rPr>
        <w:t>data access</w:t>
      </w:r>
      <w:r>
        <w:rPr>
          <w:rFonts w:ascii="黑体" w:eastAsia="黑体" w:hAnsi="黑体" w:hint="eastAsia"/>
        </w:rPr>
        <w:t>（</w:t>
      </w:r>
      <w:r>
        <w:rPr>
          <w:rFonts w:ascii="黑体" w:eastAsia="黑体" w:hAnsi="黑体" w:hint="eastAsia"/>
        </w:rPr>
        <w:t>DA</w:t>
      </w:r>
      <w:r>
        <w:rPr>
          <w:rFonts w:ascii="黑体" w:eastAsia="黑体" w:hAnsi="黑体" w:hint="eastAsia"/>
        </w:rPr>
        <w:t>）</w:t>
      </w:r>
    </w:p>
    <w:p w:rsidR="00C34A8A" w:rsidRDefault="00FD5D49">
      <w:pPr>
        <w:pStyle w:val="afffff5"/>
        <w:ind w:firstLine="420"/>
      </w:pPr>
      <w:r>
        <w:rPr>
          <w:rFonts w:hint="eastAsia"/>
        </w:rPr>
        <w:t>将数据从源头读取到目标库中的行为。</w:t>
      </w:r>
    </w:p>
    <w:p w:rsidR="00C34A8A" w:rsidRDefault="00FD5D49">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数据抽取</w:t>
      </w:r>
      <w:r>
        <w:rPr>
          <w:rFonts w:ascii="黑体" w:eastAsia="黑体" w:hAnsi="黑体" w:hint="eastAsia"/>
        </w:rPr>
        <w:t xml:space="preserve">  </w:t>
      </w:r>
      <w:r>
        <w:rPr>
          <w:rFonts w:ascii="黑体" w:eastAsia="黑体" w:hAnsi="黑体"/>
        </w:rPr>
        <w:t>data extraction</w:t>
      </w:r>
      <w:r>
        <w:rPr>
          <w:rFonts w:ascii="黑体" w:eastAsia="黑体" w:hAnsi="黑体" w:hint="eastAsia"/>
        </w:rPr>
        <w:t>（</w:t>
      </w:r>
      <w:r>
        <w:rPr>
          <w:rFonts w:ascii="黑体" w:eastAsia="黑体" w:hAnsi="黑体" w:hint="eastAsia"/>
        </w:rPr>
        <w:t>DE</w:t>
      </w:r>
      <w:r>
        <w:rPr>
          <w:rFonts w:ascii="黑体" w:eastAsia="黑体" w:hAnsi="黑体" w:hint="eastAsia"/>
        </w:rPr>
        <w:t>）</w:t>
      </w:r>
    </w:p>
    <w:p w:rsidR="00C34A8A" w:rsidRDefault="00FD5D49">
      <w:pPr>
        <w:pStyle w:val="afffff5"/>
        <w:ind w:firstLine="420"/>
      </w:pPr>
      <w:r>
        <w:rPr>
          <w:rFonts w:hint="eastAsia"/>
        </w:rPr>
        <w:t>通过</w:t>
      </w:r>
      <w:r>
        <w:rPr>
          <w:rFonts w:hint="eastAsia"/>
        </w:rPr>
        <w:t>ETL</w:t>
      </w:r>
      <w:r>
        <w:rPr>
          <w:rFonts w:hint="eastAsia"/>
        </w:rPr>
        <w:t>（</w:t>
      </w:r>
      <w:r>
        <w:rPr>
          <w:rFonts w:hint="eastAsia"/>
        </w:rPr>
        <w:t>Extract</w:t>
      </w:r>
      <w:r>
        <w:t xml:space="preserve"> </w:t>
      </w:r>
      <w:r>
        <w:rPr>
          <w:rFonts w:hint="eastAsia"/>
        </w:rPr>
        <w:t>Transform</w:t>
      </w:r>
      <w:r>
        <w:t xml:space="preserve"> </w:t>
      </w:r>
      <w:r>
        <w:rPr>
          <w:rFonts w:hint="eastAsia"/>
        </w:rPr>
        <w:t>Load</w:t>
      </w:r>
      <w:r>
        <w:rPr>
          <w:rFonts w:hint="eastAsia"/>
        </w:rPr>
        <w:t>）工具将</w:t>
      </w:r>
      <w:proofErr w:type="gramStart"/>
      <w:r>
        <w:rPr>
          <w:rFonts w:hint="eastAsia"/>
        </w:rPr>
        <w:t>源数据</w:t>
      </w:r>
      <w:proofErr w:type="gramEnd"/>
      <w:r>
        <w:rPr>
          <w:rFonts w:hint="eastAsia"/>
        </w:rPr>
        <w:t>从不同数据源中获取的过程。</w:t>
      </w:r>
    </w:p>
    <w:p w:rsidR="00C34A8A" w:rsidRDefault="00FD5D49">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数据清洗</w:t>
      </w:r>
      <w:r>
        <w:rPr>
          <w:rFonts w:ascii="黑体" w:eastAsia="黑体" w:hAnsi="黑体"/>
        </w:rPr>
        <w:t xml:space="preserve">  data cleansing</w:t>
      </w:r>
      <w:r>
        <w:rPr>
          <w:rFonts w:ascii="黑体" w:eastAsia="黑体" w:hAnsi="黑体" w:hint="eastAsia"/>
        </w:rPr>
        <w:t>（</w:t>
      </w:r>
      <w:r>
        <w:rPr>
          <w:rFonts w:ascii="黑体" w:eastAsia="黑体" w:hAnsi="黑体" w:hint="eastAsia"/>
        </w:rPr>
        <w:t>DC</w:t>
      </w:r>
      <w:r>
        <w:rPr>
          <w:rFonts w:ascii="黑体" w:eastAsia="黑体" w:hAnsi="黑体" w:hint="eastAsia"/>
        </w:rPr>
        <w:t>）</w:t>
      </w:r>
    </w:p>
    <w:p w:rsidR="00C34A8A" w:rsidRDefault="00FD5D49">
      <w:pPr>
        <w:pStyle w:val="afffff5"/>
        <w:ind w:firstLine="420"/>
      </w:pPr>
      <w:r>
        <w:rPr>
          <w:rFonts w:hint="eastAsia"/>
        </w:rPr>
        <w:t>按照数据质量标准要求对业务数据加工的过程。</w:t>
      </w:r>
    </w:p>
    <w:p w:rsidR="00C34A8A" w:rsidRDefault="00FD5D49">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操作性数据存储</w:t>
      </w:r>
      <w:r>
        <w:rPr>
          <w:rFonts w:ascii="黑体" w:eastAsia="黑体" w:hAnsi="黑体"/>
        </w:rPr>
        <w:t xml:space="preserve">  operational data store</w:t>
      </w:r>
      <w:r>
        <w:rPr>
          <w:rFonts w:ascii="黑体" w:eastAsia="黑体" w:hAnsi="黑体" w:hint="eastAsia"/>
        </w:rPr>
        <w:t>（</w:t>
      </w:r>
      <w:r>
        <w:rPr>
          <w:rFonts w:ascii="黑体" w:eastAsia="黑体" w:hAnsi="黑体" w:hint="eastAsia"/>
        </w:rPr>
        <w:t>ODS</w:t>
      </w:r>
      <w:r>
        <w:rPr>
          <w:rFonts w:ascii="黑体" w:eastAsia="黑体" w:hAnsi="黑体" w:hint="eastAsia"/>
        </w:rPr>
        <w:t>）</w:t>
      </w:r>
    </w:p>
    <w:p w:rsidR="00C34A8A" w:rsidRDefault="00FD5D49">
      <w:pPr>
        <w:pStyle w:val="afffff5"/>
        <w:ind w:firstLine="420"/>
      </w:pPr>
      <w:r>
        <w:rPr>
          <w:rFonts w:hint="eastAsia"/>
        </w:rPr>
        <w:lastRenderedPageBreak/>
        <w:t>数据库到数据仓库的过渡性操作。</w:t>
      </w:r>
    </w:p>
    <w:p w:rsidR="00C34A8A" w:rsidRDefault="00FD5D49">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数据仓库</w:t>
      </w:r>
      <w:r>
        <w:rPr>
          <w:rFonts w:ascii="黑体" w:eastAsia="黑体" w:hAnsi="黑体" w:hint="eastAsia"/>
        </w:rPr>
        <w:t xml:space="preserve">  </w:t>
      </w:r>
      <w:r>
        <w:rPr>
          <w:rFonts w:ascii="黑体" w:eastAsia="黑体" w:hAnsi="黑体"/>
        </w:rPr>
        <w:t>data warehouse</w:t>
      </w:r>
      <w:r>
        <w:rPr>
          <w:rFonts w:ascii="黑体" w:eastAsia="黑体" w:hAnsi="黑体" w:hint="eastAsia"/>
        </w:rPr>
        <w:t>（</w:t>
      </w:r>
      <w:r>
        <w:rPr>
          <w:rFonts w:ascii="黑体" w:eastAsia="黑体" w:hAnsi="黑体" w:hint="eastAsia"/>
        </w:rPr>
        <w:t>DW</w:t>
      </w:r>
      <w:r>
        <w:rPr>
          <w:rFonts w:ascii="黑体" w:eastAsia="黑体" w:hAnsi="黑体" w:hint="eastAsia"/>
        </w:rPr>
        <w:t>）</w:t>
      </w:r>
    </w:p>
    <w:p w:rsidR="00C34A8A" w:rsidRDefault="00FD5D49">
      <w:pPr>
        <w:pStyle w:val="afffff5"/>
        <w:ind w:firstLine="420"/>
      </w:pPr>
      <w:r>
        <w:rPr>
          <w:rFonts w:hint="eastAsia"/>
        </w:rPr>
        <w:t>对多样的业务数据进行集成、筛选与整合的大容量数据存储集合。</w:t>
      </w:r>
    </w:p>
    <w:p w:rsidR="00C34A8A" w:rsidRDefault="00FD5D49">
      <w:pPr>
        <w:pStyle w:val="afffffffffff4"/>
        <w:ind w:left="420" w:hangingChars="200" w:hanging="420"/>
        <w:rPr>
          <w:rFonts w:ascii="黑体" w:eastAsia="黑体" w:hAnsi="黑体"/>
        </w:rPr>
      </w:pPr>
      <w:r>
        <w:br/>
      </w:r>
      <w:r>
        <w:rPr>
          <w:rFonts w:ascii="黑体" w:eastAsia="黑体" w:hAnsi="黑体" w:hint="eastAsia"/>
        </w:rPr>
        <w:t>数据集市</w:t>
      </w:r>
      <w:r>
        <w:rPr>
          <w:rFonts w:ascii="黑体" w:eastAsia="黑体" w:hAnsi="黑体" w:hint="eastAsia"/>
        </w:rPr>
        <w:t xml:space="preserve">  </w:t>
      </w:r>
      <w:r>
        <w:rPr>
          <w:rFonts w:ascii="黑体" w:eastAsia="黑体" w:hAnsi="黑体"/>
        </w:rPr>
        <w:t>data mart</w:t>
      </w:r>
      <w:r>
        <w:rPr>
          <w:rFonts w:ascii="黑体" w:eastAsia="黑体" w:hAnsi="黑体" w:hint="eastAsia"/>
        </w:rPr>
        <w:t>（</w:t>
      </w:r>
      <w:r>
        <w:rPr>
          <w:rFonts w:ascii="黑体" w:eastAsia="黑体" w:hAnsi="黑体" w:hint="eastAsia"/>
        </w:rPr>
        <w:t>DM</w:t>
      </w:r>
      <w:r>
        <w:rPr>
          <w:rFonts w:ascii="黑体" w:eastAsia="黑体" w:hAnsi="黑体" w:hint="eastAsia"/>
        </w:rPr>
        <w:t>）</w:t>
      </w:r>
    </w:p>
    <w:p w:rsidR="00C34A8A" w:rsidRDefault="00FD5D49">
      <w:pPr>
        <w:pStyle w:val="afffff5"/>
        <w:ind w:firstLine="420"/>
      </w:pPr>
      <w:r>
        <w:rPr>
          <w:rFonts w:hint="eastAsia"/>
        </w:rPr>
        <w:t>面向专门的主题域或按某种维度基于数据仓库加工的一类数据。</w:t>
      </w:r>
    </w:p>
    <w:p w:rsidR="00C34A8A" w:rsidRDefault="00FD5D49">
      <w:pPr>
        <w:pStyle w:val="affc"/>
        <w:spacing w:before="312" w:after="312"/>
      </w:pPr>
      <w:r>
        <w:rPr>
          <w:rFonts w:hint="eastAsia"/>
        </w:rPr>
        <w:t>系统架构</w:t>
      </w:r>
    </w:p>
    <w:p w:rsidR="00C34A8A" w:rsidRDefault="00FD5D49">
      <w:pPr>
        <w:pStyle w:val="affd"/>
        <w:spacing w:before="156" w:after="156"/>
      </w:pPr>
      <w:r>
        <w:rPr>
          <w:rFonts w:hint="eastAsia"/>
        </w:rPr>
        <w:t>总体建设要求</w:t>
      </w:r>
    </w:p>
    <w:p w:rsidR="00C34A8A" w:rsidRDefault="00FD5D49">
      <w:pPr>
        <w:pStyle w:val="affe"/>
        <w:spacing w:before="156" w:after="156"/>
      </w:pPr>
      <w:r>
        <w:rPr>
          <w:rFonts w:hint="eastAsia"/>
        </w:rPr>
        <w:t>基本原则</w:t>
      </w:r>
    </w:p>
    <w:p w:rsidR="00C34A8A" w:rsidRDefault="00FD5D49">
      <w:pPr>
        <w:pStyle w:val="afffff5"/>
        <w:ind w:firstLine="420"/>
      </w:pPr>
      <w:r>
        <w:rPr>
          <w:rFonts w:hint="eastAsia"/>
        </w:rPr>
        <w:t>标准统一、基础共用、数据共享、业务协同。</w:t>
      </w:r>
    </w:p>
    <w:p w:rsidR="00C34A8A" w:rsidRDefault="00FD5D49">
      <w:pPr>
        <w:pStyle w:val="affe"/>
        <w:spacing w:before="156" w:after="156"/>
      </w:pPr>
      <w:r>
        <w:rPr>
          <w:rFonts w:hint="eastAsia"/>
        </w:rPr>
        <w:t>建设要求</w:t>
      </w:r>
    </w:p>
    <w:p w:rsidR="00C34A8A" w:rsidRDefault="00FD5D49">
      <w:pPr>
        <w:pStyle w:val="afffff5"/>
        <w:ind w:firstLine="420"/>
      </w:pPr>
      <w:r>
        <w:rPr>
          <w:rFonts w:hint="eastAsia"/>
        </w:rPr>
        <w:t>集数据资源目录、数据标签管理、数据质量治理、数据共享交换等功能为一体，与无锡市大数据中心数据互联互通。</w:t>
      </w:r>
    </w:p>
    <w:p w:rsidR="00C34A8A" w:rsidRDefault="00FD5D49">
      <w:pPr>
        <w:pStyle w:val="affe"/>
        <w:spacing w:before="156" w:after="156"/>
      </w:pPr>
      <w:r>
        <w:rPr>
          <w:rFonts w:hint="eastAsia"/>
        </w:rPr>
        <w:t>建设目标</w:t>
      </w:r>
    </w:p>
    <w:p w:rsidR="00C34A8A" w:rsidRDefault="00FD5D49">
      <w:pPr>
        <w:pStyle w:val="afffff5"/>
        <w:ind w:firstLine="420"/>
      </w:pPr>
      <w:r>
        <w:rPr>
          <w:rFonts w:hint="eastAsia"/>
        </w:rPr>
        <w:t>数据状态可感知、数据使用可追溯、数据责任可核查。</w:t>
      </w:r>
    </w:p>
    <w:p w:rsidR="00C34A8A" w:rsidRDefault="00FD5D49">
      <w:pPr>
        <w:pStyle w:val="affd"/>
        <w:spacing w:before="156" w:after="156"/>
      </w:pPr>
      <w:r>
        <w:rPr>
          <w:rFonts w:hint="eastAsia"/>
        </w:rPr>
        <w:t>平台总体架构</w:t>
      </w:r>
    </w:p>
    <w:p w:rsidR="00C34A8A" w:rsidRDefault="00FD5D49">
      <w:pPr>
        <w:pStyle w:val="afffff5"/>
        <w:ind w:firstLine="420"/>
      </w:pPr>
      <w:r>
        <w:rPr>
          <w:rFonts w:hint="eastAsia"/>
        </w:rPr>
        <w:t>市场监管大数据中心</w:t>
      </w:r>
      <w:r>
        <w:rPr>
          <w:rFonts w:hint="eastAsia"/>
        </w:rPr>
        <w:t>平台</w:t>
      </w:r>
      <w:r>
        <w:rPr>
          <w:rFonts w:hint="eastAsia"/>
        </w:rPr>
        <w:t>以安全规范体系为保障，以标准规范体系为支撑，总体架构示意图见图</w:t>
      </w:r>
      <w:r>
        <w:rPr>
          <w:rFonts w:hint="eastAsia"/>
        </w:rPr>
        <w:t>1</w:t>
      </w:r>
      <w:r>
        <w:rPr>
          <w:rFonts w:hint="eastAsia"/>
        </w:rPr>
        <w:t>。包括但不限于以下层级：</w:t>
      </w:r>
    </w:p>
    <w:p w:rsidR="00C34A8A" w:rsidRDefault="00FD5D49">
      <w:pPr>
        <w:pStyle w:val="af5"/>
      </w:pPr>
      <w:r>
        <w:rPr>
          <w:rFonts w:hint="eastAsia"/>
        </w:rPr>
        <w:t>数据层：包括数据中台，具备数据整合与沉淀能力。支持数据仓库、数据加工、数据资源管理、数据标准管理、数据质量管理、数据监控管理、数据标签管理、数据填报管理及数据共享交换；通过统一的数据治理体系，确保数据状态可感知、数据使用可追溯、数据责任可核查，为市场监管提供强有力的决策支持和运营支撑；</w:t>
      </w:r>
    </w:p>
    <w:p w:rsidR="00C34A8A" w:rsidRDefault="00FD5D49">
      <w:pPr>
        <w:pStyle w:val="af5"/>
      </w:pPr>
      <w:r>
        <w:rPr>
          <w:rFonts w:hint="eastAsia"/>
        </w:rPr>
        <w:t>支撑层：包括大数据分析工具平台，具备商业智能工具功能和报表生成能力。支持多维数据分析、数据可视化展示，以及灵活的报表设计与生成。同时，具备大数据处理能力，能够高效处理、存储和分析海量数据；</w:t>
      </w:r>
    </w:p>
    <w:p w:rsidR="00C34A8A" w:rsidRDefault="00FD5D49">
      <w:pPr>
        <w:pStyle w:val="af5"/>
      </w:pPr>
      <w:r>
        <w:rPr>
          <w:rFonts w:hint="eastAsia"/>
        </w:rPr>
        <w:t>应用层：将数据资源进一步打造，为各</w:t>
      </w:r>
      <w:r>
        <w:rPr>
          <w:rFonts w:hint="eastAsia"/>
        </w:rPr>
        <w:t>类场景化应用。通过驾驶舱、决策支持、多维画像、数据查询、统计分析、分析报告、风险预警、智能统计、智能搜索等手段，充分激发数据潜能，发挥数据价值；</w:t>
      </w:r>
    </w:p>
    <w:p w:rsidR="00C34A8A" w:rsidRDefault="00FD5D49">
      <w:pPr>
        <w:pStyle w:val="af5"/>
      </w:pPr>
      <w:r>
        <w:rPr>
          <w:rFonts w:hint="eastAsia"/>
        </w:rPr>
        <w:t>接入层：包括</w:t>
      </w:r>
      <w:r>
        <w:rPr>
          <w:rFonts w:hint="eastAsia"/>
        </w:rPr>
        <w:t>PC</w:t>
      </w:r>
      <w:r>
        <w:rPr>
          <w:rFonts w:hint="eastAsia"/>
        </w:rPr>
        <w:t>电脑及移动设备，作为应用程序的载体；</w:t>
      </w:r>
    </w:p>
    <w:p w:rsidR="00C34A8A" w:rsidRDefault="00FD5D49">
      <w:pPr>
        <w:pStyle w:val="af5"/>
      </w:pPr>
      <w:r>
        <w:rPr>
          <w:rFonts w:hint="eastAsia"/>
        </w:rPr>
        <w:t>用户层：使用对象主要包括市场监管部门、</w:t>
      </w:r>
      <w:r>
        <w:rPr>
          <w:rFonts w:hint="eastAsia"/>
        </w:rPr>
        <w:t>其他</w:t>
      </w:r>
      <w:r>
        <w:rPr>
          <w:rFonts w:hint="eastAsia"/>
        </w:rPr>
        <w:t>政府部门、</w:t>
      </w:r>
      <w:r>
        <w:rPr>
          <w:rFonts w:hint="eastAsia"/>
        </w:rPr>
        <w:t>行政相对人</w:t>
      </w:r>
      <w:r>
        <w:rPr>
          <w:rFonts w:hint="eastAsia"/>
        </w:rPr>
        <w:t>、社会公众，应用对市场监管部门开放全部功能，为</w:t>
      </w:r>
      <w:r>
        <w:rPr>
          <w:rFonts w:hint="eastAsia"/>
        </w:rPr>
        <w:t>其他</w:t>
      </w:r>
      <w:r>
        <w:rPr>
          <w:rFonts w:hint="eastAsia"/>
        </w:rPr>
        <w:t>政府部门、</w:t>
      </w:r>
      <w:r>
        <w:rPr>
          <w:rFonts w:hint="eastAsia"/>
        </w:rPr>
        <w:t>行政相对人</w:t>
      </w:r>
      <w:r>
        <w:rPr>
          <w:rFonts w:hint="eastAsia"/>
        </w:rPr>
        <w:t>、社会公众提供数据服</w:t>
      </w:r>
      <w:r>
        <w:rPr>
          <w:rFonts w:hint="eastAsia"/>
        </w:rPr>
        <w:t>务</w:t>
      </w:r>
      <w:r>
        <w:rPr>
          <w:rFonts w:hint="eastAsia"/>
        </w:rPr>
        <w:t>。</w:t>
      </w:r>
    </w:p>
    <w:p w:rsidR="00C34A8A" w:rsidRDefault="00FD5D49">
      <w:pPr>
        <w:pStyle w:val="afffff5"/>
        <w:ind w:firstLineChars="0" w:firstLine="0"/>
      </w:pPr>
      <w:r>
        <w:rPr>
          <w:noProof/>
        </w:rPr>
        <w:lastRenderedPageBreak/>
        <w:drawing>
          <wp:inline distT="0" distB="0" distL="0" distR="0">
            <wp:extent cx="5933440" cy="3580765"/>
            <wp:effectExtent l="0" t="0" r="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933440" cy="3580765"/>
                    </a:xfrm>
                    <a:prstGeom prst="rect">
                      <a:avLst/>
                    </a:prstGeom>
                    <a:noFill/>
                  </pic:spPr>
                </pic:pic>
              </a:graphicData>
            </a:graphic>
          </wp:inline>
        </w:drawing>
      </w:r>
    </w:p>
    <w:p w:rsidR="00C34A8A" w:rsidRDefault="00FD5D49">
      <w:pPr>
        <w:pStyle w:val="afd"/>
        <w:spacing w:before="156" w:after="156"/>
      </w:pPr>
      <w:r>
        <w:rPr>
          <w:rFonts w:hint="eastAsia"/>
        </w:rPr>
        <w:t>市场监管大数据中心平台总体架构</w:t>
      </w:r>
    </w:p>
    <w:p w:rsidR="00C34A8A" w:rsidRDefault="00FD5D49">
      <w:pPr>
        <w:pStyle w:val="affc"/>
        <w:spacing w:before="312" w:after="312"/>
      </w:pPr>
      <w:r>
        <w:rPr>
          <w:rFonts w:hint="eastAsia"/>
        </w:rPr>
        <w:t>总体技术</w:t>
      </w:r>
    </w:p>
    <w:p w:rsidR="00C34A8A" w:rsidRDefault="00FD5D49">
      <w:pPr>
        <w:pStyle w:val="affd"/>
        <w:spacing w:before="156" w:after="156"/>
      </w:pPr>
      <w:r>
        <w:rPr>
          <w:rFonts w:hint="eastAsia"/>
        </w:rPr>
        <w:t>技术架构</w:t>
      </w:r>
    </w:p>
    <w:p w:rsidR="00C34A8A" w:rsidRDefault="00FD5D49">
      <w:pPr>
        <w:pStyle w:val="afffff5"/>
        <w:ind w:firstLine="420"/>
      </w:pPr>
      <w:r>
        <w:rPr>
          <w:rFonts w:hint="eastAsia"/>
        </w:rPr>
        <w:t>系统技术架构采用面向服务的体系架构</w:t>
      </w:r>
      <w:r>
        <w:rPr>
          <w:rFonts w:hint="eastAsia"/>
        </w:rPr>
        <w:t>(SOA)</w:t>
      </w:r>
      <w:r>
        <w:rPr>
          <w:rFonts w:hint="eastAsia"/>
        </w:rPr>
        <w:t>，具备跨平台、可伸缩和高可靠的特性。</w:t>
      </w:r>
    </w:p>
    <w:p w:rsidR="00C34A8A" w:rsidRDefault="00FD5D49">
      <w:pPr>
        <w:pStyle w:val="affd"/>
        <w:spacing w:before="156" w:after="156"/>
      </w:pPr>
      <w:r>
        <w:rPr>
          <w:rFonts w:hint="eastAsia"/>
        </w:rPr>
        <w:t>运行环境</w:t>
      </w:r>
    </w:p>
    <w:p w:rsidR="00C34A8A" w:rsidRDefault="00FD5D49">
      <w:pPr>
        <w:pStyle w:val="afffff5"/>
        <w:ind w:firstLine="420"/>
      </w:pPr>
      <w:r>
        <w:rPr>
          <w:rFonts w:hint="eastAsia"/>
        </w:rPr>
        <w:t>支持主流操作系统部署，支持国内外主流网络浏览器。</w:t>
      </w:r>
    </w:p>
    <w:p w:rsidR="00C34A8A" w:rsidRDefault="00FD5D49">
      <w:pPr>
        <w:pStyle w:val="affd"/>
        <w:spacing w:before="156" w:after="156"/>
      </w:pPr>
      <w:r>
        <w:rPr>
          <w:rFonts w:hint="eastAsia"/>
        </w:rPr>
        <w:t>部署方式</w:t>
      </w:r>
    </w:p>
    <w:p w:rsidR="00C34A8A" w:rsidRDefault="00FD5D49">
      <w:pPr>
        <w:pStyle w:val="afffff5"/>
        <w:ind w:firstLine="420"/>
      </w:pPr>
      <w:r>
        <w:rPr>
          <w:rFonts w:hint="eastAsia"/>
        </w:rPr>
        <w:t>具备灵活的部署方式，支持集中部署、集群部署等方式。</w:t>
      </w:r>
    </w:p>
    <w:p w:rsidR="00C34A8A" w:rsidRDefault="00FD5D49">
      <w:pPr>
        <w:pStyle w:val="affd"/>
        <w:spacing w:before="156" w:after="156"/>
      </w:pPr>
      <w:r>
        <w:rPr>
          <w:rFonts w:hint="eastAsia"/>
        </w:rPr>
        <w:t>数据库</w:t>
      </w:r>
    </w:p>
    <w:p w:rsidR="00C34A8A" w:rsidRDefault="00FD5D49">
      <w:pPr>
        <w:pStyle w:val="afffff5"/>
        <w:ind w:firstLine="420"/>
      </w:pPr>
      <w:r>
        <w:rPr>
          <w:rFonts w:hint="eastAsia"/>
        </w:rPr>
        <w:t>支持主流数据库，以及国产数据库。</w:t>
      </w:r>
    </w:p>
    <w:p w:rsidR="00C34A8A" w:rsidRDefault="00FD5D49">
      <w:pPr>
        <w:pStyle w:val="affd"/>
        <w:spacing w:before="156" w:after="156"/>
      </w:pPr>
      <w:r>
        <w:rPr>
          <w:rFonts w:hint="eastAsia"/>
        </w:rPr>
        <w:t>数据服务接口</w:t>
      </w:r>
    </w:p>
    <w:p w:rsidR="00C34A8A" w:rsidRDefault="00FD5D49">
      <w:pPr>
        <w:pStyle w:val="affe"/>
        <w:spacing w:before="156" w:after="156"/>
      </w:pPr>
      <w:r>
        <w:rPr>
          <w:rFonts w:hint="eastAsia"/>
        </w:rPr>
        <w:t>接口描述</w:t>
      </w:r>
    </w:p>
    <w:p w:rsidR="00C34A8A" w:rsidRDefault="00FD5D49">
      <w:pPr>
        <w:pStyle w:val="afffff5"/>
        <w:ind w:firstLine="420"/>
      </w:pPr>
      <w:r>
        <w:rPr>
          <w:rFonts w:hint="eastAsia"/>
        </w:rPr>
        <w:t>建立开放式的架构，能够通过必要的定制或使用内置的接口服务实现与第三方平台的信息交换和管理协同。</w:t>
      </w:r>
    </w:p>
    <w:p w:rsidR="00C34A8A" w:rsidRDefault="00FD5D49">
      <w:pPr>
        <w:pStyle w:val="affe"/>
        <w:spacing w:before="156" w:after="156"/>
      </w:pPr>
      <w:r>
        <w:rPr>
          <w:rFonts w:hint="eastAsia"/>
        </w:rPr>
        <w:t>接口要求</w:t>
      </w:r>
    </w:p>
    <w:p w:rsidR="00C34A8A" w:rsidRDefault="00FD5D49">
      <w:pPr>
        <w:pStyle w:val="afffff5"/>
        <w:ind w:firstLine="420"/>
      </w:pPr>
      <w:r>
        <w:rPr>
          <w:rFonts w:hint="eastAsia"/>
        </w:rPr>
        <w:lastRenderedPageBreak/>
        <w:t>具备对外输出信息及接收外部数据的能力。</w:t>
      </w:r>
    </w:p>
    <w:p w:rsidR="00C34A8A" w:rsidRDefault="00FD5D49">
      <w:pPr>
        <w:pStyle w:val="affe"/>
        <w:spacing w:before="156" w:after="156"/>
      </w:pPr>
      <w:r>
        <w:rPr>
          <w:rFonts w:hint="eastAsia"/>
        </w:rPr>
        <w:t>接口方式</w:t>
      </w:r>
    </w:p>
    <w:p w:rsidR="00C34A8A" w:rsidRDefault="00FD5D49">
      <w:pPr>
        <w:pStyle w:val="afffff5"/>
        <w:ind w:firstLine="420"/>
      </w:pPr>
      <w:r>
        <w:rPr>
          <w:rFonts w:hint="eastAsia"/>
        </w:rPr>
        <w:t>具备以下形式的接口能力，包括但不限于：</w:t>
      </w:r>
    </w:p>
    <w:p w:rsidR="00C34A8A" w:rsidRDefault="00FD5D49">
      <w:pPr>
        <w:pStyle w:val="af5"/>
        <w:numPr>
          <w:ilvl w:val="0"/>
          <w:numId w:val="32"/>
        </w:numPr>
      </w:pPr>
      <w:r>
        <w:rPr>
          <w:rFonts w:hint="eastAsia"/>
        </w:rPr>
        <w:t>数据文档导入</w:t>
      </w:r>
      <w:r>
        <w:rPr>
          <w:rFonts w:hint="eastAsia"/>
        </w:rPr>
        <w:t>/</w:t>
      </w:r>
      <w:r>
        <w:rPr>
          <w:rFonts w:hint="eastAsia"/>
        </w:rPr>
        <w:t>导出：提供数据的导出功能，提供格式化文档的数据导入处理；</w:t>
      </w:r>
    </w:p>
    <w:p w:rsidR="00C34A8A" w:rsidRDefault="00FD5D49">
      <w:pPr>
        <w:pStyle w:val="af5"/>
      </w:pPr>
      <w:r>
        <w:rPr>
          <w:rFonts w:hint="eastAsia"/>
        </w:rPr>
        <w:t>数据库交换：数据提供方给接收方提供数据视图，开放有视图权限的用户，</w:t>
      </w:r>
      <w:r>
        <w:rPr>
          <w:rFonts w:hint="eastAsia"/>
        </w:rPr>
        <w:t>数据接受方定时查询视图获取数据处理；</w:t>
      </w:r>
    </w:p>
    <w:p w:rsidR="00C34A8A" w:rsidRDefault="00FD5D49">
      <w:pPr>
        <w:pStyle w:val="af5"/>
      </w:pPr>
      <w:r>
        <w:rPr>
          <w:rFonts w:hint="eastAsia"/>
        </w:rPr>
        <w:t>使用通用协议进行数据动态交换。</w:t>
      </w:r>
    </w:p>
    <w:p w:rsidR="00C34A8A" w:rsidRDefault="00FD5D49">
      <w:pPr>
        <w:pStyle w:val="affc"/>
        <w:spacing w:before="312" w:after="312"/>
      </w:pPr>
      <w:r>
        <w:rPr>
          <w:rFonts w:hint="eastAsia"/>
        </w:rPr>
        <w:t>系统功能</w:t>
      </w:r>
    </w:p>
    <w:p w:rsidR="00C34A8A" w:rsidRDefault="00FD5D49">
      <w:pPr>
        <w:pStyle w:val="affd"/>
        <w:spacing w:before="156" w:after="156"/>
      </w:pPr>
      <w:r>
        <w:rPr>
          <w:rFonts w:hint="eastAsia"/>
        </w:rPr>
        <w:t>数据标准规范</w:t>
      </w:r>
    </w:p>
    <w:p w:rsidR="00C34A8A" w:rsidRDefault="00FD5D49">
      <w:pPr>
        <w:pStyle w:val="affe"/>
        <w:spacing w:before="156" w:after="156"/>
      </w:pPr>
      <w:r>
        <w:rPr>
          <w:rFonts w:hint="eastAsia"/>
        </w:rPr>
        <w:t>总则</w:t>
      </w:r>
    </w:p>
    <w:p w:rsidR="00C34A8A" w:rsidRDefault="00FD5D49">
      <w:pPr>
        <w:pStyle w:val="afffff5"/>
        <w:ind w:firstLine="420"/>
      </w:pPr>
      <w:r>
        <w:rPr>
          <w:rFonts w:hint="eastAsia"/>
        </w:rPr>
        <w:t>对元数据建立规定与约束，符合对应标准规范，以保证数据的兼容性与一致性。</w:t>
      </w:r>
    </w:p>
    <w:p w:rsidR="00C34A8A" w:rsidRDefault="00FD5D49">
      <w:pPr>
        <w:pStyle w:val="affe"/>
        <w:spacing w:before="156" w:after="156"/>
      </w:pPr>
      <w:r>
        <w:rPr>
          <w:rFonts w:hint="eastAsia"/>
        </w:rPr>
        <w:t xml:space="preserve">CA01 </w:t>
      </w:r>
      <w:r>
        <w:rPr>
          <w:rFonts w:hint="eastAsia"/>
        </w:rPr>
        <w:t>行政区划代码</w:t>
      </w:r>
      <w:r>
        <w:rPr>
          <w:rFonts w:hint="eastAsia"/>
        </w:rPr>
        <w:t xml:space="preserve"> </w:t>
      </w:r>
    </w:p>
    <w:p w:rsidR="00C34A8A" w:rsidRDefault="00FD5D49">
      <w:pPr>
        <w:pStyle w:val="afffff5"/>
        <w:ind w:firstLine="420"/>
      </w:pPr>
      <w:r>
        <w:rPr>
          <w:rFonts w:hint="eastAsia"/>
        </w:rPr>
        <w:t>应符合</w:t>
      </w:r>
      <w:r>
        <w:rPr>
          <w:rFonts w:hint="eastAsia"/>
        </w:rPr>
        <w:t>GB/T 2260</w:t>
      </w:r>
      <w:r>
        <w:rPr>
          <w:rFonts w:hint="eastAsia"/>
        </w:rPr>
        <w:t>规定的</w:t>
      </w:r>
      <w:r>
        <w:rPr>
          <w:rFonts w:hint="eastAsia"/>
        </w:rPr>
        <w:t>6</w:t>
      </w:r>
      <w:r>
        <w:rPr>
          <w:rFonts w:hint="eastAsia"/>
        </w:rPr>
        <w:t>位数字编码规则。</w:t>
      </w:r>
    </w:p>
    <w:p w:rsidR="00C34A8A" w:rsidRDefault="00FD5D49">
      <w:pPr>
        <w:pStyle w:val="affe"/>
        <w:spacing w:before="156" w:after="156"/>
      </w:pPr>
      <w:r>
        <w:rPr>
          <w:rFonts w:hint="eastAsia"/>
        </w:rPr>
        <w:t xml:space="preserve">CA02 </w:t>
      </w:r>
      <w:r>
        <w:rPr>
          <w:rFonts w:hint="eastAsia"/>
        </w:rPr>
        <w:t>国别</w:t>
      </w:r>
      <w:r>
        <w:rPr>
          <w:rFonts w:hint="eastAsia"/>
        </w:rPr>
        <w:t>(</w:t>
      </w:r>
      <w:r>
        <w:rPr>
          <w:rFonts w:hint="eastAsia"/>
        </w:rPr>
        <w:t>地区</w:t>
      </w:r>
      <w:r>
        <w:rPr>
          <w:rFonts w:hint="eastAsia"/>
        </w:rPr>
        <w:t>)</w:t>
      </w:r>
      <w:r>
        <w:rPr>
          <w:rFonts w:hint="eastAsia"/>
        </w:rPr>
        <w:t>代码</w:t>
      </w:r>
    </w:p>
    <w:p w:rsidR="00C34A8A" w:rsidRDefault="00FD5D49">
      <w:pPr>
        <w:pStyle w:val="afffff5"/>
        <w:ind w:firstLine="420"/>
      </w:pPr>
      <w:r>
        <w:rPr>
          <w:rFonts w:hint="eastAsia"/>
        </w:rPr>
        <w:t>应符合</w:t>
      </w:r>
      <w:r>
        <w:rPr>
          <w:rFonts w:hint="eastAsia"/>
        </w:rPr>
        <w:t>GB/T 2659</w:t>
      </w:r>
      <w:r>
        <w:t>.1</w:t>
      </w:r>
      <w:r>
        <w:rPr>
          <w:rFonts w:hint="eastAsia"/>
        </w:rPr>
        <w:t>规定的</w:t>
      </w:r>
      <w:r>
        <w:rPr>
          <w:rFonts w:hint="eastAsia"/>
        </w:rPr>
        <w:t>3</w:t>
      </w:r>
      <w:r>
        <w:rPr>
          <w:rFonts w:hint="eastAsia"/>
        </w:rPr>
        <w:t>位数字编码规则。</w:t>
      </w:r>
    </w:p>
    <w:p w:rsidR="00C34A8A" w:rsidRDefault="00FD5D49">
      <w:pPr>
        <w:pStyle w:val="affe"/>
        <w:spacing w:before="156" w:after="156"/>
      </w:pPr>
      <w:r>
        <w:rPr>
          <w:rFonts w:hint="eastAsia"/>
        </w:rPr>
        <w:t xml:space="preserve">CA03 </w:t>
      </w:r>
      <w:r>
        <w:rPr>
          <w:rFonts w:hint="eastAsia"/>
        </w:rPr>
        <w:t>组织机构代码</w:t>
      </w:r>
    </w:p>
    <w:p w:rsidR="00C34A8A" w:rsidRDefault="00FD5D49">
      <w:pPr>
        <w:pStyle w:val="afffff5"/>
        <w:ind w:firstLine="420"/>
      </w:pPr>
      <w:r>
        <w:rPr>
          <w:rFonts w:hint="eastAsia"/>
        </w:rPr>
        <w:t>应符合</w:t>
      </w:r>
      <w:r>
        <w:rPr>
          <w:rFonts w:hint="eastAsia"/>
        </w:rPr>
        <w:t>GB 11714</w:t>
      </w:r>
      <w:r>
        <w:rPr>
          <w:rFonts w:hint="eastAsia"/>
        </w:rPr>
        <w:t>规定的</w:t>
      </w:r>
      <w:r>
        <w:rPr>
          <w:rFonts w:hint="eastAsia"/>
        </w:rPr>
        <w:t>9</w:t>
      </w:r>
      <w:r>
        <w:rPr>
          <w:rFonts w:hint="eastAsia"/>
        </w:rPr>
        <w:t>位数字码编码规则。</w:t>
      </w:r>
    </w:p>
    <w:p w:rsidR="00C34A8A" w:rsidRDefault="00FD5D49">
      <w:pPr>
        <w:pStyle w:val="affe"/>
        <w:spacing w:before="156" w:after="156"/>
      </w:pPr>
      <w:r>
        <w:rPr>
          <w:rFonts w:hint="eastAsia"/>
        </w:rPr>
        <w:t xml:space="preserve">CA04 </w:t>
      </w:r>
      <w:r>
        <w:rPr>
          <w:rFonts w:hint="eastAsia"/>
        </w:rPr>
        <w:t>币种代码</w:t>
      </w:r>
    </w:p>
    <w:p w:rsidR="00C34A8A" w:rsidRDefault="00FD5D49">
      <w:pPr>
        <w:pStyle w:val="afffff5"/>
        <w:ind w:firstLine="420"/>
      </w:pPr>
      <w:r>
        <w:rPr>
          <w:rFonts w:hint="eastAsia"/>
        </w:rPr>
        <w:t>应符合</w:t>
      </w:r>
      <w:r>
        <w:rPr>
          <w:rFonts w:hint="eastAsia"/>
        </w:rPr>
        <w:t>GB/T 12406</w:t>
      </w:r>
      <w:r>
        <w:rPr>
          <w:rFonts w:hint="eastAsia"/>
        </w:rPr>
        <w:t>规定的</w:t>
      </w:r>
      <w:r>
        <w:rPr>
          <w:rFonts w:hint="eastAsia"/>
        </w:rPr>
        <w:t>3</w:t>
      </w:r>
      <w:r>
        <w:rPr>
          <w:rFonts w:hint="eastAsia"/>
        </w:rPr>
        <w:t>位数字码编码规则。</w:t>
      </w:r>
    </w:p>
    <w:p w:rsidR="00C34A8A" w:rsidRDefault="00FD5D49">
      <w:pPr>
        <w:pStyle w:val="affe"/>
        <w:spacing w:before="156" w:after="156"/>
      </w:pPr>
      <w:r>
        <w:rPr>
          <w:rFonts w:hint="eastAsia"/>
        </w:rPr>
        <w:t xml:space="preserve">CA05 </w:t>
      </w:r>
      <w:r>
        <w:rPr>
          <w:rFonts w:hint="eastAsia"/>
        </w:rPr>
        <w:t>行业门类代码</w:t>
      </w:r>
    </w:p>
    <w:p w:rsidR="00C34A8A" w:rsidRDefault="00FD5D49">
      <w:pPr>
        <w:pStyle w:val="afffff5"/>
        <w:ind w:firstLine="420"/>
      </w:pPr>
      <w:r>
        <w:rPr>
          <w:rFonts w:hint="eastAsia"/>
        </w:rPr>
        <w:t>应符合</w:t>
      </w:r>
      <w:r>
        <w:rPr>
          <w:rFonts w:hint="eastAsia"/>
        </w:rPr>
        <w:t>GB/T 4754</w:t>
      </w:r>
      <w:r>
        <w:rPr>
          <w:rFonts w:hint="eastAsia"/>
        </w:rPr>
        <w:t>规定的</w:t>
      </w:r>
      <w:r>
        <w:rPr>
          <w:rFonts w:hint="eastAsia"/>
        </w:rPr>
        <w:t>1</w:t>
      </w:r>
      <w:r>
        <w:rPr>
          <w:rFonts w:hint="eastAsia"/>
        </w:rPr>
        <w:t>位大写字母编码规则。</w:t>
      </w:r>
    </w:p>
    <w:p w:rsidR="00C34A8A" w:rsidRDefault="00FD5D49">
      <w:pPr>
        <w:pStyle w:val="affe"/>
        <w:spacing w:before="156" w:after="156"/>
      </w:pPr>
      <w:r>
        <w:rPr>
          <w:rFonts w:hint="eastAsia"/>
        </w:rPr>
        <w:t xml:space="preserve">CA06 </w:t>
      </w:r>
      <w:r>
        <w:rPr>
          <w:rFonts w:hint="eastAsia"/>
        </w:rPr>
        <w:t>国民经济行业代码</w:t>
      </w:r>
    </w:p>
    <w:p w:rsidR="00C34A8A" w:rsidRDefault="00FD5D49">
      <w:pPr>
        <w:pStyle w:val="afffff5"/>
        <w:ind w:firstLine="420"/>
      </w:pPr>
      <w:r>
        <w:rPr>
          <w:rFonts w:hint="eastAsia"/>
        </w:rPr>
        <w:t>应符合</w:t>
      </w:r>
      <w:r>
        <w:rPr>
          <w:rFonts w:hint="eastAsia"/>
        </w:rPr>
        <w:t>GB/T 4754</w:t>
      </w:r>
      <w:r>
        <w:rPr>
          <w:rFonts w:hint="eastAsia"/>
        </w:rPr>
        <w:t>规定的</w:t>
      </w:r>
      <w:r>
        <w:rPr>
          <w:rFonts w:hint="eastAsia"/>
        </w:rPr>
        <w:t>4</w:t>
      </w:r>
      <w:r>
        <w:rPr>
          <w:rFonts w:hint="eastAsia"/>
        </w:rPr>
        <w:t>位数字编码规则。</w:t>
      </w:r>
    </w:p>
    <w:p w:rsidR="00C34A8A" w:rsidRDefault="00FD5D49">
      <w:pPr>
        <w:pStyle w:val="affe"/>
        <w:spacing w:before="156" w:after="156"/>
      </w:pPr>
      <w:r>
        <w:rPr>
          <w:rFonts w:hint="eastAsia"/>
        </w:rPr>
        <w:t xml:space="preserve">CA11 </w:t>
      </w:r>
      <w:r>
        <w:rPr>
          <w:rFonts w:hint="eastAsia"/>
        </w:rPr>
        <w:t>登记注册机关代码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w:t>
      </w:r>
      <w:r>
        <w:rPr>
          <w:rFonts w:hint="eastAsia"/>
        </w:rPr>
        <w:t>给出的</w:t>
      </w:r>
      <w:r>
        <w:rPr>
          <w:rFonts w:hint="eastAsia"/>
        </w:rPr>
        <w:t>6</w:t>
      </w:r>
      <w:r>
        <w:rPr>
          <w:rFonts w:hint="eastAsia"/>
        </w:rPr>
        <w:t>位数字行政区划码和</w:t>
      </w:r>
      <w:r>
        <w:rPr>
          <w:rFonts w:hint="eastAsia"/>
        </w:rPr>
        <w:t>3</w:t>
      </w:r>
      <w:r>
        <w:rPr>
          <w:rFonts w:hint="eastAsia"/>
        </w:rPr>
        <w:t>位数字码的编码规则。</w:t>
      </w:r>
    </w:p>
    <w:p w:rsidR="00C34A8A" w:rsidRDefault="00FD5D49">
      <w:pPr>
        <w:pStyle w:val="affe"/>
        <w:spacing w:before="156" w:after="156"/>
      </w:pPr>
      <w:r>
        <w:rPr>
          <w:rFonts w:hint="eastAsia"/>
        </w:rPr>
        <w:t xml:space="preserve">CA16 </w:t>
      </w:r>
      <w:r>
        <w:rPr>
          <w:rFonts w:hint="eastAsia"/>
        </w:rPr>
        <w:t>市场主体类型代码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w:t>
      </w:r>
      <w:r>
        <w:rPr>
          <w:rFonts w:hint="eastAsia"/>
        </w:rPr>
        <w:t>给出的数字编码规则。</w:t>
      </w:r>
    </w:p>
    <w:p w:rsidR="00C34A8A" w:rsidRDefault="00FD5D49">
      <w:pPr>
        <w:pStyle w:val="affe"/>
        <w:spacing w:before="156" w:after="156"/>
      </w:pPr>
      <w:r>
        <w:rPr>
          <w:rFonts w:hint="eastAsia"/>
        </w:rPr>
        <w:t xml:space="preserve">CA20 </w:t>
      </w:r>
      <w:r>
        <w:rPr>
          <w:rFonts w:hint="eastAsia"/>
        </w:rPr>
        <w:t>业务范围类型代码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lastRenderedPageBreak/>
        <w:t xml:space="preserve">CA22 </w:t>
      </w:r>
      <w:r>
        <w:rPr>
          <w:rFonts w:hint="eastAsia"/>
        </w:rPr>
        <w:t>出资方式代码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CA23</w:t>
      </w:r>
      <w:r>
        <w:rPr>
          <w:rFonts w:hint="eastAsia"/>
        </w:rPr>
        <w:t>合伙方式代码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A.5</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CA24</w:t>
      </w:r>
      <w:r>
        <w:rPr>
          <w:rFonts w:hint="eastAsia"/>
        </w:rPr>
        <w:t>投资人代码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A.6</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CA26 </w:t>
      </w:r>
      <w:r>
        <w:rPr>
          <w:rFonts w:hint="eastAsia"/>
        </w:rPr>
        <w:t>许可文件状态代码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A.7</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CA27 </w:t>
      </w:r>
      <w:r>
        <w:rPr>
          <w:rFonts w:hint="eastAsia"/>
        </w:rPr>
        <w:t>组成形式代码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A.8</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CA90 </w:t>
      </w:r>
      <w:r>
        <w:rPr>
          <w:rFonts w:hint="eastAsia"/>
        </w:rPr>
        <w:t>申请方式代码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A.9</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CA91 </w:t>
      </w:r>
      <w:r>
        <w:rPr>
          <w:rFonts w:hint="eastAsia"/>
        </w:rPr>
        <w:t>统一社会信用代码</w:t>
      </w:r>
    </w:p>
    <w:p w:rsidR="00C34A8A" w:rsidRDefault="00FD5D49">
      <w:pPr>
        <w:pStyle w:val="afffff5"/>
        <w:ind w:firstLine="420"/>
      </w:pPr>
      <w:r>
        <w:rPr>
          <w:rFonts w:hint="eastAsia"/>
        </w:rPr>
        <w:t>应符合</w:t>
      </w:r>
      <w:r>
        <w:rPr>
          <w:rFonts w:hint="eastAsia"/>
        </w:rPr>
        <w:t>GB 32100-2015</w:t>
      </w:r>
      <w:r>
        <w:rPr>
          <w:rFonts w:hint="eastAsia"/>
        </w:rPr>
        <w:t>规定的</w:t>
      </w:r>
      <w:r>
        <w:rPr>
          <w:rFonts w:hint="eastAsia"/>
        </w:rPr>
        <w:t>18</w:t>
      </w:r>
      <w:r>
        <w:rPr>
          <w:rFonts w:hint="eastAsia"/>
        </w:rPr>
        <w:t>位编码规则。</w:t>
      </w:r>
    </w:p>
    <w:p w:rsidR="00C34A8A" w:rsidRDefault="00FD5D49">
      <w:pPr>
        <w:pStyle w:val="affe"/>
        <w:spacing w:before="156" w:after="156"/>
      </w:pPr>
      <w:r>
        <w:rPr>
          <w:rFonts w:hint="eastAsia"/>
        </w:rPr>
        <w:t xml:space="preserve">CB16 </w:t>
      </w:r>
      <w:r>
        <w:rPr>
          <w:rFonts w:hint="eastAsia"/>
        </w:rPr>
        <w:t>证件类型代码</w:t>
      </w:r>
    </w:p>
    <w:p w:rsidR="00C34A8A" w:rsidRDefault="00FD5D49">
      <w:pPr>
        <w:pStyle w:val="afffff5"/>
        <w:ind w:firstLine="420"/>
        <w:rPr>
          <w:color w:val="FF0000"/>
        </w:rPr>
      </w:pPr>
      <w:r>
        <w:rPr>
          <w:rFonts w:hint="eastAsia"/>
        </w:rPr>
        <w:t>应符合附录</w:t>
      </w:r>
      <w:r>
        <w:rPr>
          <w:rFonts w:hint="eastAsia"/>
        </w:rPr>
        <w:t>A</w:t>
      </w:r>
      <w:r>
        <w:rPr>
          <w:rFonts w:hint="eastAsia"/>
        </w:rPr>
        <w:t>表</w:t>
      </w:r>
      <w:r>
        <w:rPr>
          <w:rFonts w:hint="eastAsia"/>
        </w:rPr>
        <w:t>A.10</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CB17 </w:t>
      </w:r>
      <w:r>
        <w:rPr>
          <w:rFonts w:hint="eastAsia"/>
        </w:rPr>
        <w:t>性别代码</w:t>
      </w:r>
    </w:p>
    <w:p w:rsidR="00C34A8A" w:rsidRDefault="00FD5D49">
      <w:pPr>
        <w:pStyle w:val="afffff5"/>
        <w:ind w:firstLine="420"/>
      </w:pPr>
      <w:r>
        <w:rPr>
          <w:rFonts w:hint="eastAsia"/>
        </w:rPr>
        <w:t>应符合</w:t>
      </w:r>
      <w:r>
        <w:rPr>
          <w:rFonts w:hint="eastAsia"/>
        </w:rPr>
        <w:t>GB/T 2261.1</w:t>
      </w:r>
      <w:r>
        <w:rPr>
          <w:rFonts w:hint="eastAsia"/>
        </w:rPr>
        <w:t>规定的</w:t>
      </w:r>
      <w:r>
        <w:rPr>
          <w:rFonts w:hint="eastAsia"/>
        </w:rPr>
        <w:t>1</w:t>
      </w:r>
      <w:r>
        <w:rPr>
          <w:rFonts w:hint="eastAsia"/>
        </w:rPr>
        <w:t>位数字编码规则。</w:t>
      </w:r>
    </w:p>
    <w:p w:rsidR="00C34A8A" w:rsidRDefault="00FD5D49">
      <w:pPr>
        <w:pStyle w:val="affe"/>
        <w:spacing w:before="156" w:after="156"/>
      </w:pPr>
      <w:r>
        <w:rPr>
          <w:rFonts w:hint="eastAsia"/>
        </w:rPr>
        <w:t xml:space="preserve">CB18 </w:t>
      </w:r>
      <w:r>
        <w:rPr>
          <w:rFonts w:hint="eastAsia"/>
        </w:rPr>
        <w:t>职务代码</w:t>
      </w:r>
    </w:p>
    <w:p w:rsidR="00C34A8A" w:rsidRDefault="00FD5D49">
      <w:pPr>
        <w:pStyle w:val="afffff5"/>
        <w:ind w:firstLine="420"/>
      </w:pPr>
      <w:r>
        <w:rPr>
          <w:rFonts w:hint="eastAsia"/>
        </w:rPr>
        <w:t>应符合</w:t>
      </w:r>
      <w:r>
        <w:rPr>
          <w:rFonts w:hint="eastAsia"/>
        </w:rPr>
        <w:t>GB/T 12403</w:t>
      </w:r>
      <w:r>
        <w:rPr>
          <w:rFonts w:hint="eastAsia"/>
        </w:rPr>
        <w:t>规定的</w:t>
      </w:r>
      <w:r>
        <w:rPr>
          <w:rFonts w:hint="eastAsia"/>
        </w:rPr>
        <w:t>4</w:t>
      </w:r>
      <w:r>
        <w:rPr>
          <w:rFonts w:hint="eastAsia"/>
        </w:rPr>
        <w:t>位编码规则。</w:t>
      </w:r>
    </w:p>
    <w:p w:rsidR="00C34A8A" w:rsidRDefault="00FD5D49">
      <w:pPr>
        <w:pStyle w:val="affe"/>
        <w:spacing w:before="156" w:after="156"/>
      </w:pPr>
      <w:r>
        <w:rPr>
          <w:rFonts w:hint="eastAsia"/>
        </w:rPr>
        <w:t xml:space="preserve">CB19 </w:t>
      </w:r>
      <w:r>
        <w:rPr>
          <w:rFonts w:hint="eastAsia"/>
        </w:rPr>
        <w:t>职务产生方式代码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A.11</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CB20 </w:t>
      </w:r>
      <w:r>
        <w:rPr>
          <w:rFonts w:hint="eastAsia"/>
        </w:rPr>
        <w:t>直销人员类型代码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A.12</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CB21 </w:t>
      </w:r>
      <w:r>
        <w:rPr>
          <w:rFonts w:hint="eastAsia"/>
        </w:rPr>
        <w:t>传销人员类型代码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A.13</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CB30 </w:t>
      </w:r>
      <w:r>
        <w:rPr>
          <w:rFonts w:hint="eastAsia"/>
        </w:rPr>
        <w:t>政治面貌代码</w:t>
      </w:r>
    </w:p>
    <w:p w:rsidR="00C34A8A" w:rsidRDefault="00FD5D49">
      <w:pPr>
        <w:pStyle w:val="afffff5"/>
        <w:ind w:firstLine="420"/>
      </w:pPr>
      <w:r>
        <w:rPr>
          <w:rFonts w:hint="eastAsia"/>
        </w:rPr>
        <w:t>应符合</w:t>
      </w:r>
      <w:r>
        <w:rPr>
          <w:rFonts w:hint="eastAsia"/>
        </w:rPr>
        <w:t>GB/T 4762</w:t>
      </w:r>
      <w:r>
        <w:rPr>
          <w:rFonts w:hint="eastAsia"/>
        </w:rPr>
        <w:t>规定的</w:t>
      </w:r>
      <w:r>
        <w:rPr>
          <w:rFonts w:hint="eastAsia"/>
        </w:rPr>
        <w:t>2</w:t>
      </w:r>
      <w:r>
        <w:rPr>
          <w:rFonts w:hint="eastAsia"/>
        </w:rPr>
        <w:t>位数字编码规则。</w:t>
      </w:r>
    </w:p>
    <w:p w:rsidR="00C34A8A" w:rsidRDefault="00FD5D49">
      <w:pPr>
        <w:pStyle w:val="affe"/>
        <w:spacing w:before="156" w:after="156"/>
      </w:pPr>
      <w:r>
        <w:rPr>
          <w:rFonts w:hint="eastAsia"/>
        </w:rPr>
        <w:t xml:space="preserve">CB32 </w:t>
      </w:r>
      <w:r>
        <w:rPr>
          <w:rFonts w:hint="eastAsia"/>
        </w:rPr>
        <w:t>民族代码</w:t>
      </w:r>
    </w:p>
    <w:p w:rsidR="00C34A8A" w:rsidRDefault="00FD5D49">
      <w:pPr>
        <w:pStyle w:val="afffff5"/>
        <w:ind w:firstLine="420"/>
      </w:pPr>
      <w:r>
        <w:rPr>
          <w:rFonts w:hint="eastAsia"/>
        </w:rPr>
        <w:lastRenderedPageBreak/>
        <w:t>应符合</w:t>
      </w:r>
      <w:r>
        <w:rPr>
          <w:rFonts w:hint="eastAsia"/>
        </w:rPr>
        <w:t>GB/T 3304-1991</w:t>
      </w:r>
      <w:r>
        <w:rPr>
          <w:rFonts w:hint="eastAsia"/>
        </w:rPr>
        <w:t>规定的</w:t>
      </w:r>
      <w:r>
        <w:rPr>
          <w:rFonts w:hint="eastAsia"/>
        </w:rPr>
        <w:t>2</w:t>
      </w:r>
      <w:r>
        <w:rPr>
          <w:rFonts w:hint="eastAsia"/>
        </w:rPr>
        <w:t>位数字编码规则。</w:t>
      </w:r>
    </w:p>
    <w:p w:rsidR="00C34A8A" w:rsidRDefault="00FD5D49">
      <w:pPr>
        <w:pStyle w:val="affe"/>
        <w:spacing w:before="156" w:after="156"/>
      </w:pPr>
      <w:r>
        <w:rPr>
          <w:rFonts w:hint="eastAsia"/>
        </w:rPr>
        <w:t xml:space="preserve">CC10 </w:t>
      </w:r>
      <w:r>
        <w:rPr>
          <w:rFonts w:hint="eastAsia"/>
        </w:rPr>
        <w:t>广告经营单位类型代码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A.14</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CC11</w:t>
      </w:r>
      <w:r>
        <w:rPr>
          <w:rFonts w:hint="eastAsia"/>
        </w:rPr>
        <w:t>广告活动主体类型</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A.15</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CC12 </w:t>
      </w:r>
      <w:r>
        <w:rPr>
          <w:rFonts w:hint="eastAsia"/>
        </w:rPr>
        <w:t>广告内容类别代码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A.16</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CC14 </w:t>
      </w:r>
      <w:r>
        <w:rPr>
          <w:rFonts w:hint="eastAsia"/>
        </w:rPr>
        <w:t>广告经营单位性质代码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A.17</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CC16 </w:t>
      </w:r>
      <w:r>
        <w:rPr>
          <w:rFonts w:hint="eastAsia"/>
        </w:rPr>
        <w:t>广告媒介代码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A.18</w:t>
      </w:r>
      <w:r>
        <w:rPr>
          <w:rFonts w:hint="eastAsia"/>
        </w:rPr>
        <w:t>给出的数字编码规则。</w:t>
      </w:r>
    </w:p>
    <w:p w:rsidR="00C34A8A" w:rsidRDefault="00FD5D49">
      <w:pPr>
        <w:pStyle w:val="affe"/>
        <w:spacing w:before="156" w:after="156"/>
      </w:pPr>
      <w:r>
        <w:rPr>
          <w:rFonts w:hint="eastAsia"/>
        </w:rPr>
        <w:t>CC17</w:t>
      </w:r>
      <w:r>
        <w:rPr>
          <w:rFonts w:hint="eastAsia"/>
        </w:rPr>
        <w:t>广告形式代码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A.19</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CC18 </w:t>
      </w:r>
      <w:r>
        <w:rPr>
          <w:rFonts w:hint="eastAsia"/>
        </w:rPr>
        <w:t>广告从业人员类型代码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A.20</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CE16 </w:t>
      </w:r>
      <w:r>
        <w:rPr>
          <w:rFonts w:hint="eastAsia"/>
        </w:rPr>
        <w:t>处罚种类代码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A.21</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CE22 </w:t>
      </w:r>
      <w:r>
        <w:rPr>
          <w:rFonts w:hint="eastAsia"/>
        </w:rPr>
        <w:t>处罚结果代码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A.22</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 xml:space="preserve">CH10 </w:t>
      </w:r>
      <w:r>
        <w:rPr>
          <w:rFonts w:hint="eastAsia"/>
        </w:rPr>
        <w:t>人员身份代码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A.23</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CH51 </w:t>
      </w:r>
      <w:r>
        <w:rPr>
          <w:rFonts w:hint="eastAsia"/>
        </w:rPr>
        <w:t>调解结果代码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A.24</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CH52 </w:t>
      </w:r>
      <w:r>
        <w:rPr>
          <w:rFonts w:hint="eastAsia"/>
        </w:rPr>
        <w:t>侵权类型代码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A.25</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CZ07</w:t>
      </w:r>
      <w:r>
        <w:rPr>
          <w:rFonts w:hint="eastAsia"/>
        </w:rPr>
        <w:t>网站或网店类型</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A.26</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CZ08</w:t>
      </w:r>
      <w:r>
        <w:rPr>
          <w:rFonts w:hint="eastAsia"/>
        </w:rPr>
        <w:t>网站电子商务类型</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A.27</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lastRenderedPageBreak/>
        <w:t>药品经营企业经营状态代码</w:t>
      </w:r>
    </w:p>
    <w:p w:rsidR="00C34A8A" w:rsidRDefault="00FD5D49">
      <w:pPr>
        <w:pStyle w:val="afffff5"/>
        <w:ind w:firstLine="420"/>
      </w:pPr>
      <w:r>
        <w:rPr>
          <w:rFonts w:hint="eastAsia"/>
        </w:rPr>
        <w:t>应符</w:t>
      </w:r>
      <w:r>
        <w:rPr>
          <w:rFonts w:hint="eastAsia"/>
        </w:rPr>
        <w:t>合附录</w:t>
      </w:r>
      <w:r>
        <w:rPr>
          <w:rFonts w:hint="eastAsia"/>
        </w:rPr>
        <w:t>A</w:t>
      </w:r>
      <w:r>
        <w:rPr>
          <w:rFonts w:hint="eastAsia"/>
        </w:rPr>
        <w:t>表</w:t>
      </w:r>
      <w:r>
        <w:rPr>
          <w:rFonts w:hint="eastAsia"/>
        </w:rPr>
        <w:t>A.28</w:t>
      </w:r>
      <w:r>
        <w:rPr>
          <w:rFonts w:hint="eastAsia"/>
        </w:rPr>
        <w:t>给出的数字编码规则。</w:t>
      </w:r>
    </w:p>
    <w:p w:rsidR="00C34A8A" w:rsidRDefault="00FD5D49">
      <w:pPr>
        <w:pStyle w:val="affe"/>
        <w:spacing w:before="156" w:after="156"/>
      </w:pPr>
      <w:r>
        <w:rPr>
          <w:rFonts w:hint="eastAsia"/>
        </w:rPr>
        <w:t>药品经营企业许可证状态代码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A.29</w:t>
      </w:r>
      <w:r>
        <w:rPr>
          <w:rFonts w:hint="eastAsia"/>
        </w:rPr>
        <w:t>给出的</w:t>
      </w:r>
      <w:r>
        <w:rPr>
          <w:rFonts w:hint="eastAsia"/>
        </w:rPr>
        <w:t>1</w:t>
      </w:r>
      <w:r>
        <w:rPr>
          <w:rFonts w:hint="eastAsia"/>
        </w:rPr>
        <w:t>位大写字母编码规则。</w:t>
      </w:r>
    </w:p>
    <w:p w:rsidR="00C34A8A" w:rsidRDefault="00FD5D49">
      <w:pPr>
        <w:pStyle w:val="affe"/>
        <w:spacing w:before="156" w:after="156"/>
      </w:pPr>
      <w:r>
        <w:rPr>
          <w:rFonts w:hint="eastAsia"/>
        </w:rPr>
        <w:t>医疗器械经营企业经营方式</w:t>
      </w:r>
      <w:r>
        <w:rPr>
          <w:rFonts w:hint="eastAsia"/>
        </w:rPr>
        <w:t>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A.30</w:t>
      </w:r>
      <w:r>
        <w:rPr>
          <w:rFonts w:hint="eastAsia"/>
        </w:rPr>
        <w:t>给出的数字编码规则。</w:t>
      </w:r>
    </w:p>
    <w:p w:rsidR="00C34A8A" w:rsidRDefault="00FD5D49">
      <w:pPr>
        <w:pStyle w:val="affe"/>
        <w:spacing w:before="156" w:after="156"/>
      </w:pPr>
      <w:r>
        <w:rPr>
          <w:rFonts w:hint="eastAsia"/>
        </w:rPr>
        <w:t>医疗器械经营</w:t>
      </w:r>
      <w:proofErr w:type="gramStart"/>
      <w:r>
        <w:rPr>
          <w:rFonts w:hint="eastAsia"/>
        </w:rPr>
        <w:t>企业企业</w:t>
      </w:r>
      <w:proofErr w:type="gramEnd"/>
      <w:r>
        <w:rPr>
          <w:rFonts w:hint="eastAsia"/>
        </w:rPr>
        <w:t>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A.31</w:t>
      </w:r>
      <w:r>
        <w:rPr>
          <w:rFonts w:hint="eastAsia"/>
        </w:rPr>
        <w:t>给出的</w:t>
      </w:r>
      <w:r>
        <w:rPr>
          <w:rFonts w:hint="eastAsia"/>
        </w:rPr>
        <w:t>1</w:t>
      </w:r>
      <w:r>
        <w:rPr>
          <w:rFonts w:hint="eastAsia"/>
        </w:rPr>
        <w:t>位大写字母编码规则。</w:t>
      </w:r>
    </w:p>
    <w:p w:rsidR="00C34A8A" w:rsidRDefault="00FD5D49">
      <w:pPr>
        <w:pStyle w:val="affe"/>
        <w:spacing w:before="156" w:after="156"/>
      </w:pPr>
      <w:r>
        <w:rPr>
          <w:rFonts w:hint="eastAsia"/>
        </w:rPr>
        <w:t>医疗器械经营企业经营状态代码</w:t>
      </w:r>
    </w:p>
    <w:p w:rsidR="00C34A8A" w:rsidRDefault="00FD5D49">
      <w:pPr>
        <w:pStyle w:val="afffff5"/>
        <w:ind w:firstLine="420"/>
      </w:pPr>
      <w:r>
        <w:rPr>
          <w:rFonts w:hint="eastAsia"/>
        </w:rPr>
        <w:t>应符合附录</w:t>
      </w:r>
      <w:r>
        <w:rPr>
          <w:rFonts w:hint="eastAsia"/>
        </w:rPr>
        <w:t xml:space="preserve">A </w:t>
      </w:r>
      <w:r>
        <w:rPr>
          <w:rFonts w:hint="eastAsia"/>
        </w:rPr>
        <w:t>表</w:t>
      </w:r>
      <w:r>
        <w:rPr>
          <w:rFonts w:hint="eastAsia"/>
        </w:rPr>
        <w:t xml:space="preserve">A.32 </w:t>
      </w:r>
      <w:r>
        <w:rPr>
          <w:rFonts w:hint="eastAsia"/>
        </w:rPr>
        <w:t>给出的数字编码规则。</w:t>
      </w:r>
    </w:p>
    <w:p w:rsidR="00C34A8A" w:rsidRDefault="00FD5D49">
      <w:pPr>
        <w:pStyle w:val="affe"/>
        <w:spacing w:before="156" w:after="156"/>
      </w:pPr>
      <w:r>
        <w:rPr>
          <w:rFonts w:hint="eastAsia"/>
        </w:rPr>
        <w:t>食品生产许可证发证类型代码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A.33</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食品生产许可证资质状态代码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A.34</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食品经营</w:t>
      </w:r>
      <w:proofErr w:type="gramStart"/>
      <w:r>
        <w:rPr>
          <w:rFonts w:hint="eastAsia"/>
        </w:rPr>
        <w:t>主体主体</w:t>
      </w:r>
      <w:proofErr w:type="gramEnd"/>
      <w:r>
        <w:rPr>
          <w:rFonts w:hint="eastAsia"/>
        </w:rPr>
        <w:t>业态代码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A.35</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食品经营许可证证书类型代码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A.36</w:t>
      </w:r>
      <w:r>
        <w:rPr>
          <w:rFonts w:hint="eastAsia"/>
        </w:rPr>
        <w:t>给出的编码规则。</w:t>
      </w:r>
    </w:p>
    <w:p w:rsidR="00C34A8A" w:rsidRDefault="00FD5D49">
      <w:pPr>
        <w:pStyle w:val="affe"/>
        <w:spacing w:before="156" w:after="156"/>
      </w:pPr>
      <w:r>
        <w:rPr>
          <w:rFonts w:hint="eastAsia"/>
        </w:rPr>
        <w:t>食品经营主体经营状态代码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A.37</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工业产品生产许可证有效状态代码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A.38</w:t>
      </w:r>
      <w:r>
        <w:rPr>
          <w:rFonts w:hint="eastAsia"/>
        </w:rPr>
        <w:t>给出的</w:t>
      </w:r>
      <w:r>
        <w:rPr>
          <w:rFonts w:hint="eastAsia"/>
        </w:rPr>
        <w:t>1</w:t>
      </w:r>
      <w:r>
        <w:rPr>
          <w:rFonts w:hint="eastAsia"/>
        </w:rPr>
        <w:t>位大写字母编码规则。</w:t>
      </w:r>
    </w:p>
    <w:p w:rsidR="00C34A8A" w:rsidRDefault="00FD5D49">
      <w:pPr>
        <w:pStyle w:val="affe"/>
        <w:spacing w:before="156" w:after="156"/>
      </w:pPr>
      <w:r>
        <w:rPr>
          <w:rFonts w:hint="eastAsia"/>
        </w:rPr>
        <w:t>工业产品生产许可证产品类型代码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A.39</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工业产品生产主体生产状态代码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A.40</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专利类型代码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A.41</w:t>
      </w:r>
      <w:r>
        <w:rPr>
          <w:rFonts w:hint="eastAsia"/>
        </w:rPr>
        <w:t>给出的</w:t>
      </w:r>
      <w:r>
        <w:rPr>
          <w:rFonts w:hint="eastAsia"/>
        </w:rPr>
        <w:t>1</w:t>
      </w:r>
      <w:r>
        <w:rPr>
          <w:rFonts w:hint="eastAsia"/>
        </w:rPr>
        <w:t>位数字编码</w:t>
      </w:r>
      <w:r>
        <w:rPr>
          <w:rFonts w:hint="eastAsia"/>
        </w:rPr>
        <w:t>规则。</w:t>
      </w:r>
    </w:p>
    <w:p w:rsidR="00C34A8A" w:rsidRDefault="00FD5D49">
      <w:pPr>
        <w:pStyle w:val="affe"/>
        <w:spacing w:before="156" w:after="156"/>
      </w:pPr>
      <w:r>
        <w:rPr>
          <w:rFonts w:hint="eastAsia"/>
        </w:rPr>
        <w:t>专利权</w:t>
      </w:r>
      <w:proofErr w:type="gramStart"/>
      <w:r>
        <w:rPr>
          <w:rFonts w:hint="eastAsia"/>
        </w:rPr>
        <w:t>人类型</w:t>
      </w:r>
      <w:proofErr w:type="gramEnd"/>
      <w:r>
        <w:rPr>
          <w:rFonts w:hint="eastAsia"/>
        </w:rPr>
        <w:t>代码</w:t>
      </w:r>
    </w:p>
    <w:p w:rsidR="00C34A8A" w:rsidRDefault="00FD5D49">
      <w:pPr>
        <w:pStyle w:val="afffff5"/>
        <w:ind w:firstLine="420"/>
      </w:pPr>
      <w:r>
        <w:rPr>
          <w:rFonts w:hint="eastAsia"/>
        </w:rPr>
        <w:lastRenderedPageBreak/>
        <w:t>应符合附录</w:t>
      </w:r>
      <w:r>
        <w:rPr>
          <w:rFonts w:hint="eastAsia"/>
        </w:rPr>
        <w:t>A</w:t>
      </w:r>
      <w:r>
        <w:rPr>
          <w:rFonts w:hint="eastAsia"/>
        </w:rPr>
        <w:t>表</w:t>
      </w:r>
      <w:r>
        <w:rPr>
          <w:rFonts w:hint="eastAsia"/>
        </w:rPr>
        <w:t>A.42</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 xml:space="preserve">CC01 </w:t>
      </w:r>
      <w:r>
        <w:rPr>
          <w:rFonts w:hint="eastAsia"/>
        </w:rPr>
        <w:t>商标类别代码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A.43</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商标类型代码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A.44</w:t>
      </w:r>
      <w:r>
        <w:rPr>
          <w:rFonts w:hint="eastAsia"/>
        </w:rPr>
        <w:t>给出的</w:t>
      </w:r>
      <w:r>
        <w:rPr>
          <w:rFonts w:hint="eastAsia"/>
        </w:rPr>
        <w:t>1</w:t>
      </w:r>
      <w:r>
        <w:rPr>
          <w:rFonts w:hint="eastAsia"/>
        </w:rPr>
        <w:t>位大写字母编码规则。</w:t>
      </w:r>
    </w:p>
    <w:p w:rsidR="00C34A8A" w:rsidRDefault="00FD5D49">
      <w:pPr>
        <w:pStyle w:val="affe"/>
        <w:spacing w:before="156" w:after="156"/>
      </w:pPr>
      <w:r>
        <w:rPr>
          <w:rFonts w:hint="eastAsia"/>
        </w:rPr>
        <w:t>商标国际分类代码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A.45</w:t>
      </w:r>
      <w:r>
        <w:rPr>
          <w:rFonts w:hint="eastAsia"/>
        </w:rPr>
        <w:t>给出的</w:t>
      </w:r>
      <w:r>
        <w:rPr>
          <w:rFonts w:hint="eastAsia"/>
        </w:rPr>
        <w:t>2</w:t>
      </w:r>
      <w:r>
        <w:rPr>
          <w:rFonts w:hint="eastAsia"/>
        </w:rPr>
        <w:t>位数字编码规则。</w:t>
      </w:r>
    </w:p>
    <w:p w:rsidR="00C34A8A" w:rsidRDefault="00FD5D49">
      <w:pPr>
        <w:pStyle w:val="affe"/>
        <w:spacing w:before="156" w:after="156"/>
      </w:pPr>
      <w:r>
        <w:rPr>
          <w:rFonts w:hint="eastAsia"/>
        </w:rPr>
        <w:t>CB05</w:t>
      </w:r>
      <w:r>
        <w:rPr>
          <w:rFonts w:hint="eastAsia"/>
        </w:rPr>
        <w:t>计量单位代码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A.46</w:t>
      </w:r>
      <w:r>
        <w:rPr>
          <w:rFonts w:hint="eastAsia"/>
        </w:rPr>
        <w:t>给出的</w:t>
      </w:r>
      <w:r>
        <w:rPr>
          <w:rFonts w:hint="eastAsia"/>
        </w:rPr>
        <w:t>3</w:t>
      </w:r>
      <w:r>
        <w:rPr>
          <w:rFonts w:hint="eastAsia"/>
        </w:rPr>
        <w:t>位数字编码规则。</w:t>
      </w:r>
    </w:p>
    <w:p w:rsidR="00C34A8A" w:rsidRDefault="00FD5D49">
      <w:pPr>
        <w:pStyle w:val="affe"/>
        <w:spacing w:before="156" w:after="156"/>
      </w:pPr>
      <w:r>
        <w:rPr>
          <w:rFonts w:hint="eastAsia"/>
        </w:rPr>
        <w:t>信用黑名单种类代码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A.47</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信用黑名单列入原因代码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A.48</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信用黑名单主体类型代码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A.49</w:t>
      </w:r>
      <w:r>
        <w:rPr>
          <w:rFonts w:hint="eastAsia"/>
        </w:rPr>
        <w:t>给出的</w:t>
      </w:r>
      <w:r>
        <w:rPr>
          <w:rFonts w:hint="eastAsia"/>
        </w:rPr>
        <w:t>1</w:t>
      </w:r>
      <w:r>
        <w:rPr>
          <w:rFonts w:hint="eastAsia"/>
        </w:rPr>
        <w:t>位数字编码规则。</w:t>
      </w:r>
    </w:p>
    <w:p w:rsidR="00C34A8A" w:rsidRDefault="00FD5D49">
      <w:pPr>
        <w:pStyle w:val="affe"/>
        <w:spacing w:before="156" w:after="156"/>
      </w:pPr>
      <w:r>
        <w:rPr>
          <w:rFonts w:hint="eastAsia"/>
        </w:rPr>
        <w:t>信用黑名单人员类型代码</w:t>
      </w:r>
    </w:p>
    <w:p w:rsidR="00C34A8A" w:rsidRDefault="00FD5D49">
      <w:pPr>
        <w:pStyle w:val="afffff5"/>
        <w:ind w:firstLine="420"/>
      </w:pPr>
      <w:r>
        <w:rPr>
          <w:rFonts w:hint="eastAsia"/>
        </w:rPr>
        <w:t>应符合附录</w:t>
      </w:r>
      <w:r>
        <w:rPr>
          <w:rFonts w:hint="eastAsia"/>
        </w:rPr>
        <w:t>A</w:t>
      </w:r>
      <w:r>
        <w:rPr>
          <w:rFonts w:hint="eastAsia"/>
        </w:rPr>
        <w:t>表</w:t>
      </w:r>
      <w:r>
        <w:rPr>
          <w:rFonts w:hint="eastAsia"/>
        </w:rPr>
        <w:t>A.50</w:t>
      </w:r>
      <w:r>
        <w:rPr>
          <w:rFonts w:hint="eastAsia"/>
        </w:rPr>
        <w:t>给出的</w:t>
      </w:r>
      <w:r>
        <w:rPr>
          <w:rFonts w:hint="eastAsia"/>
        </w:rPr>
        <w:t>2</w:t>
      </w:r>
      <w:r>
        <w:rPr>
          <w:rFonts w:hint="eastAsia"/>
        </w:rPr>
        <w:t>位数字编码规则。</w:t>
      </w:r>
    </w:p>
    <w:p w:rsidR="00C34A8A" w:rsidRDefault="00FD5D49">
      <w:pPr>
        <w:pStyle w:val="affd"/>
        <w:spacing w:before="156" w:after="156"/>
      </w:pPr>
      <w:r>
        <w:rPr>
          <w:rFonts w:hint="eastAsia"/>
        </w:rPr>
        <w:t>数据中台</w:t>
      </w:r>
    </w:p>
    <w:p w:rsidR="00C34A8A" w:rsidRDefault="00FD5D49">
      <w:pPr>
        <w:pStyle w:val="affe"/>
        <w:spacing w:before="156" w:after="156"/>
      </w:pPr>
      <w:r>
        <w:rPr>
          <w:rFonts w:hint="eastAsia"/>
        </w:rPr>
        <w:t>基本任务</w:t>
      </w:r>
    </w:p>
    <w:p w:rsidR="00C34A8A" w:rsidRDefault="00FD5D49">
      <w:pPr>
        <w:pStyle w:val="afffff5"/>
        <w:ind w:firstLine="420"/>
      </w:pPr>
      <w:r>
        <w:rPr>
          <w:rFonts w:hint="eastAsia"/>
        </w:rPr>
        <w:t>负责整合、处理、治理从数据仓库提取的多源异构数据，是市场监管大数据中心平台中的数据治理与管理平台。</w:t>
      </w:r>
    </w:p>
    <w:p w:rsidR="00C34A8A" w:rsidRDefault="00FD5D49">
      <w:pPr>
        <w:pStyle w:val="affe"/>
        <w:spacing w:before="156" w:after="156"/>
      </w:pPr>
      <w:r>
        <w:rPr>
          <w:rFonts w:hint="eastAsia"/>
        </w:rPr>
        <w:t>基本要求</w:t>
      </w:r>
    </w:p>
    <w:p w:rsidR="00C34A8A" w:rsidRDefault="00FD5D49">
      <w:pPr>
        <w:pStyle w:val="afffff5"/>
        <w:ind w:firstLine="420"/>
      </w:pPr>
      <w:r>
        <w:rPr>
          <w:rFonts w:hint="eastAsia"/>
        </w:rPr>
        <w:t>数据中台具备整合孤岛数据，沉淀数据资源，快速形成数据服务的能力，为市场监管决策支持、精细化运营提供支撑实现数据状态可感知、数据使用可追溯、数据责任可核查。支持数据仓库、数据资源管理、数据标准管理、数据质量管理、数据监控管理、数据标签管理、数据填报管理、数据共享交</w:t>
      </w:r>
      <w:r>
        <w:rPr>
          <w:rFonts w:hint="eastAsia"/>
        </w:rPr>
        <w:t>换能力。</w:t>
      </w:r>
    </w:p>
    <w:p w:rsidR="00C34A8A" w:rsidRDefault="00FD5D49">
      <w:pPr>
        <w:pStyle w:val="affe"/>
        <w:spacing w:before="156" w:after="156"/>
      </w:pPr>
      <w:r>
        <w:rPr>
          <w:rFonts w:hint="eastAsia"/>
        </w:rPr>
        <w:t>数据仓库</w:t>
      </w:r>
    </w:p>
    <w:p w:rsidR="00C34A8A" w:rsidRDefault="00FD5D49">
      <w:pPr>
        <w:pStyle w:val="afff"/>
        <w:spacing w:before="156" w:after="156"/>
      </w:pPr>
      <w:r>
        <w:rPr>
          <w:rFonts w:hint="eastAsia"/>
        </w:rPr>
        <w:t>建立原则</w:t>
      </w:r>
    </w:p>
    <w:p w:rsidR="00C34A8A" w:rsidRDefault="00FD5D49">
      <w:pPr>
        <w:pStyle w:val="afffff5"/>
        <w:ind w:firstLine="420"/>
      </w:pPr>
      <w:r>
        <w:rPr>
          <w:rFonts w:hint="eastAsia"/>
        </w:rPr>
        <w:t>数据仓库应保证数据的结构化和标准化。</w:t>
      </w:r>
    </w:p>
    <w:p w:rsidR="00C34A8A" w:rsidRDefault="00FD5D49">
      <w:pPr>
        <w:pStyle w:val="afff"/>
        <w:spacing w:before="156" w:after="156"/>
      </w:pPr>
      <w:r>
        <w:rPr>
          <w:rFonts w:hint="eastAsia"/>
        </w:rPr>
        <w:t>数据仓库架构</w:t>
      </w:r>
    </w:p>
    <w:p w:rsidR="00C34A8A" w:rsidRDefault="00FD5D49">
      <w:pPr>
        <w:pStyle w:val="afffff5"/>
        <w:ind w:firstLine="420"/>
      </w:pPr>
      <w:r>
        <w:rPr>
          <w:rFonts w:hint="eastAsia"/>
        </w:rPr>
        <w:lastRenderedPageBreak/>
        <w:t>数据</w:t>
      </w:r>
      <w:r>
        <w:t>仓库</w:t>
      </w:r>
      <w:r>
        <w:rPr>
          <w:rFonts w:hint="eastAsia"/>
        </w:rPr>
        <w:t>架构见</w:t>
      </w:r>
      <w:r>
        <w:t>图</w:t>
      </w:r>
      <w:r>
        <w:rPr>
          <w:rFonts w:hint="eastAsia"/>
        </w:rPr>
        <w:t>2</w:t>
      </w:r>
      <w:r>
        <w:rPr>
          <w:rFonts w:hint="eastAsia"/>
        </w:rPr>
        <w:t>。</w:t>
      </w:r>
    </w:p>
    <w:p w:rsidR="00C34A8A" w:rsidRDefault="00FD5D49">
      <w:pPr>
        <w:pStyle w:val="afffff5"/>
        <w:ind w:firstLineChars="0" w:firstLine="0"/>
        <w:jc w:val="center"/>
      </w:pPr>
      <w:r>
        <w:rPr>
          <w:noProof/>
        </w:rPr>
        <w:drawing>
          <wp:inline distT="0" distB="0" distL="0" distR="0">
            <wp:extent cx="5514340" cy="21621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514340" cy="2162175"/>
                    </a:xfrm>
                    <a:prstGeom prst="rect">
                      <a:avLst/>
                    </a:prstGeom>
                    <a:noFill/>
                  </pic:spPr>
                </pic:pic>
              </a:graphicData>
            </a:graphic>
          </wp:inline>
        </w:drawing>
      </w:r>
    </w:p>
    <w:p w:rsidR="00C34A8A" w:rsidRDefault="00FD5D49">
      <w:pPr>
        <w:pStyle w:val="afd"/>
        <w:spacing w:before="156" w:after="156"/>
      </w:pPr>
      <w:r>
        <w:rPr>
          <w:rFonts w:hint="eastAsia"/>
        </w:rPr>
        <w:t>数据仓库架构</w:t>
      </w:r>
    </w:p>
    <w:p w:rsidR="00C34A8A" w:rsidRDefault="00FD5D49">
      <w:pPr>
        <w:pStyle w:val="afffff5"/>
        <w:ind w:firstLine="420"/>
      </w:pPr>
      <w:r>
        <w:rPr>
          <w:rFonts w:hint="eastAsia"/>
        </w:rPr>
        <w:t>数据仓库的建设应包含以下架构：</w:t>
      </w:r>
    </w:p>
    <w:p w:rsidR="00C34A8A" w:rsidRDefault="00FD5D49">
      <w:pPr>
        <w:pStyle w:val="af5"/>
        <w:numPr>
          <w:ilvl w:val="0"/>
          <w:numId w:val="33"/>
        </w:numPr>
      </w:pPr>
      <w:r>
        <w:rPr>
          <w:rFonts w:hint="eastAsia"/>
        </w:rPr>
        <w:t xml:space="preserve">DB(DateBase) </w:t>
      </w:r>
      <w:r>
        <w:rPr>
          <w:rFonts w:hint="eastAsia"/>
        </w:rPr>
        <w:t>是现有的数据来源，可以是数据库、文件等类型数据，为数据仓库提供数据来源；</w:t>
      </w:r>
    </w:p>
    <w:p w:rsidR="00C34A8A" w:rsidRDefault="00FD5D49">
      <w:pPr>
        <w:pStyle w:val="af5"/>
      </w:pPr>
      <w:r>
        <w:rPr>
          <w:rFonts w:hint="eastAsia"/>
        </w:rPr>
        <w:t>ETL(Extract</w:t>
      </w:r>
      <w:r>
        <w:t xml:space="preserve"> </w:t>
      </w:r>
      <w:r>
        <w:rPr>
          <w:rFonts w:hint="eastAsia"/>
        </w:rPr>
        <w:t>Transform</w:t>
      </w:r>
      <w:r>
        <w:t xml:space="preserve"> </w:t>
      </w:r>
      <w:r>
        <w:rPr>
          <w:rFonts w:hint="eastAsia"/>
        </w:rPr>
        <w:t>Load)</w:t>
      </w:r>
      <w:r>
        <w:rPr>
          <w:rFonts w:hint="eastAsia"/>
        </w:rPr>
        <w:t>主要负责：数据抽取，也就是把数据从数据源读出来；数据转换，把原始数据转换成期望的格式和维度，也包含数据清洗，清洗掉噪音数据；数据加载，把处理后的数据加载到数据仓库；</w:t>
      </w:r>
    </w:p>
    <w:p w:rsidR="00C34A8A" w:rsidRDefault="00FD5D49">
      <w:pPr>
        <w:pStyle w:val="af5"/>
      </w:pPr>
      <w:r>
        <w:rPr>
          <w:rFonts w:hint="eastAsia"/>
        </w:rPr>
        <w:t xml:space="preserve">ODS(Operational </w:t>
      </w:r>
      <w:r>
        <w:rPr>
          <w:rFonts w:hint="eastAsia"/>
        </w:rPr>
        <w:t>Data Store)</w:t>
      </w:r>
      <w:r>
        <w:rPr>
          <w:rFonts w:hint="eastAsia"/>
        </w:rPr>
        <w:t>操作性数据存储，作为数据库到数据仓库的一种过渡，</w:t>
      </w:r>
      <w:r>
        <w:rPr>
          <w:rFonts w:hint="eastAsia"/>
        </w:rPr>
        <w:t>ODS</w:t>
      </w:r>
      <w:r>
        <w:rPr>
          <w:rFonts w:hint="eastAsia"/>
        </w:rPr>
        <w:t>的数据结构一般与数据来源保持一致，便于减少</w:t>
      </w:r>
      <w:r>
        <w:rPr>
          <w:rFonts w:hint="eastAsia"/>
        </w:rPr>
        <w:t>ETL</w:t>
      </w:r>
      <w:r>
        <w:rPr>
          <w:rFonts w:hint="eastAsia"/>
        </w:rPr>
        <w:t>的工作复杂性；</w:t>
      </w:r>
    </w:p>
    <w:p w:rsidR="00C34A8A" w:rsidRDefault="00FD5D49">
      <w:pPr>
        <w:pStyle w:val="af5"/>
      </w:pPr>
      <w:r>
        <w:rPr>
          <w:rFonts w:hint="eastAsia"/>
        </w:rPr>
        <w:t>DW (Data Warehouse)</w:t>
      </w:r>
      <w:r>
        <w:rPr>
          <w:rFonts w:hint="eastAsia"/>
        </w:rPr>
        <w:t>数据仓库，</w:t>
      </w:r>
      <w:r>
        <w:rPr>
          <w:rFonts w:hint="eastAsia"/>
        </w:rPr>
        <w:t>ODS</w:t>
      </w:r>
      <w:r>
        <w:rPr>
          <w:rFonts w:hint="eastAsia"/>
        </w:rPr>
        <w:t>的数据最终将流入数据仓库，数据仓库是数据的归宿，这里保存所有从</w:t>
      </w:r>
      <w:r>
        <w:rPr>
          <w:rFonts w:hint="eastAsia"/>
        </w:rPr>
        <w:t>ODS</w:t>
      </w:r>
      <w:r>
        <w:rPr>
          <w:rFonts w:hint="eastAsia"/>
        </w:rPr>
        <w:t>来源数据，长期保存并且不会被修改；</w:t>
      </w:r>
    </w:p>
    <w:p w:rsidR="00C34A8A" w:rsidRDefault="00FD5D49">
      <w:pPr>
        <w:pStyle w:val="af5"/>
      </w:pPr>
      <w:r>
        <w:rPr>
          <w:rFonts w:hint="eastAsia"/>
        </w:rPr>
        <w:t>DM(Data Mart)</w:t>
      </w:r>
      <w:r>
        <w:rPr>
          <w:rFonts w:hint="eastAsia"/>
        </w:rPr>
        <w:t>数据集市，为了特定的应用目的或应用范围，而从数据仓库中独立出来的一部分数据，也可称为部门数据或主题数据，面向应用。</w:t>
      </w:r>
    </w:p>
    <w:p w:rsidR="00C34A8A" w:rsidRDefault="00FD5D49">
      <w:pPr>
        <w:pStyle w:val="afff"/>
        <w:spacing w:before="156" w:after="156"/>
      </w:pPr>
      <w:r>
        <w:rPr>
          <w:rFonts w:hint="eastAsia"/>
        </w:rPr>
        <w:t>数据源</w:t>
      </w:r>
    </w:p>
    <w:p w:rsidR="00C34A8A" w:rsidRDefault="00FD5D49">
      <w:pPr>
        <w:pStyle w:val="afffff5"/>
        <w:ind w:firstLine="420"/>
      </w:pPr>
      <w:r>
        <w:rPr>
          <w:rFonts w:hint="eastAsia"/>
        </w:rPr>
        <w:t>支持通过浏览器访问主流数据库或导入数据文件的形式作为数据源，以可</w:t>
      </w:r>
      <w:r>
        <w:rPr>
          <w:rFonts w:hint="eastAsia"/>
        </w:rPr>
        <w:t>视化形式呈现来源数据，以便数据查看、管理。</w:t>
      </w:r>
    </w:p>
    <w:p w:rsidR="00C34A8A" w:rsidRDefault="00FD5D49">
      <w:pPr>
        <w:pStyle w:val="afff"/>
        <w:spacing w:before="156" w:after="156"/>
      </w:pPr>
      <w:r>
        <w:rPr>
          <w:rFonts w:hint="eastAsia"/>
        </w:rPr>
        <w:t>数据加工</w:t>
      </w:r>
    </w:p>
    <w:p w:rsidR="00C34A8A" w:rsidRDefault="00FD5D49">
      <w:pPr>
        <w:pStyle w:val="afffff5"/>
        <w:ind w:firstLine="420"/>
      </w:pPr>
      <w:r>
        <w:rPr>
          <w:rFonts w:hint="eastAsia"/>
        </w:rPr>
        <w:t>具备体系化的数据加工管理功能，支持以拖、拉、拽的操作方式实现数据加工流程，数据加工每一步操作都有对应节点进行记录，支持任意回退、重做操作，以便应对多样化的数据处理场景。</w:t>
      </w:r>
    </w:p>
    <w:p w:rsidR="00C34A8A" w:rsidRDefault="00FD5D49">
      <w:pPr>
        <w:pStyle w:val="afff"/>
        <w:spacing w:before="156" w:after="156"/>
      </w:pPr>
      <w:r>
        <w:rPr>
          <w:rFonts w:hint="eastAsia"/>
        </w:rPr>
        <w:t>操作性数据</w:t>
      </w:r>
    </w:p>
    <w:p w:rsidR="00C34A8A" w:rsidRDefault="00FD5D49">
      <w:pPr>
        <w:pStyle w:val="afffff5"/>
        <w:ind w:firstLine="420"/>
      </w:pPr>
      <w:r>
        <w:rPr>
          <w:rFonts w:hint="eastAsia"/>
        </w:rPr>
        <w:t>建立操作性数据数据库，用以存放来源于各数据源的原始数据，并保证不对操作性数据数据库中的数据进行修改。</w:t>
      </w:r>
    </w:p>
    <w:p w:rsidR="00C34A8A" w:rsidRDefault="00FD5D49">
      <w:pPr>
        <w:pStyle w:val="afff"/>
        <w:spacing w:before="156" w:after="156"/>
      </w:pPr>
      <w:r>
        <w:rPr>
          <w:rFonts w:hint="eastAsia"/>
        </w:rPr>
        <w:t>数据仓库</w:t>
      </w:r>
      <w:r>
        <w:rPr>
          <w:rFonts w:hint="eastAsia"/>
        </w:rPr>
        <w:t>数据库</w:t>
      </w:r>
    </w:p>
    <w:p w:rsidR="00C34A8A" w:rsidRDefault="00FD5D49">
      <w:pPr>
        <w:pStyle w:val="afffff5"/>
        <w:ind w:firstLine="420"/>
      </w:pPr>
      <w:r>
        <w:rPr>
          <w:rFonts w:hint="eastAsia"/>
        </w:rPr>
        <w:t>建立数据仓库数据库，用以存放对来自操作性数据存储（</w:t>
      </w:r>
      <w:r>
        <w:rPr>
          <w:rFonts w:hint="eastAsia"/>
        </w:rPr>
        <w:t>ODS</w:t>
      </w:r>
      <w:r>
        <w:rPr>
          <w:rFonts w:hint="eastAsia"/>
        </w:rPr>
        <w:t>）的原始数据进行深度的加工处理，包括数据清洗、转换、整合和建模等步骤处理后的数据，并保证不对数据仓库数</w:t>
      </w:r>
      <w:r>
        <w:rPr>
          <w:rFonts w:hint="eastAsia"/>
        </w:rPr>
        <w:t>据库中的数据进行修改。</w:t>
      </w:r>
    </w:p>
    <w:p w:rsidR="00C34A8A" w:rsidRDefault="00FD5D49">
      <w:pPr>
        <w:pStyle w:val="afff"/>
        <w:spacing w:before="156" w:after="156"/>
      </w:pPr>
      <w:r>
        <w:rPr>
          <w:rFonts w:hint="eastAsia"/>
        </w:rPr>
        <w:lastRenderedPageBreak/>
        <w:t>数据集市</w:t>
      </w:r>
    </w:p>
    <w:p w:rsidR="00C34A8A" w:rsidRDefault="00FD5D49">
      <w:pPr>
        <w:pStyle w:val="afffff5"/>
        <w:ind w:firstLine="420"/>
      </w:pPr>
      <w:r>
        <w:rPr>
          <w:rFonts w:hint="eastAsia"/>
        </w:rPr>
        <w:t>建立数据集市数据库，用以存放来源于对数据仓库数据库进行加工处理后的数据，并为实际应用提供数据服务。</w:t>
      </w:r>
    </w:p>
    <w:p w:rsidR="00C34A8A" w:rsidRDefault="00FD5D49">
      <w:pPr>
        <w:pStyle w:val="affe"/>
        <w:spacing w:before="156" w:after="156"/>
      </w:pPr>
      <w:r>
        <w:rPr>
          <w:rFonts w:hint="eastAsia"/>
        </w:rPr>
        <w:t>数据资源管理</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具备数据资源管理的能力，数据资源作为数据中台的核心，整合集成数据仓库来源数据，分类建立管理主体库、监管行为库、食品安全库、药品安全库、特种设备安全库、产品质量</w:t>
      </w:r>
      <w:proofErr w:type="gramStart"/>
      <w:r>
        <w:rPr>
          <w:rFonts w:hint="eastAsia"/>
        </w:rPr>
        <w:t>安全库</w:t>
      </w:r>
      <w:proofErr w:type="gramEnd"/>
      <w:r>
        <w:rPr>
          <w:rFonts w:hint="eastAsia"/>
        </w:rPr>
        <w:t>等若干个主题库为主的数据资源目录，并支持对数据进行去标识化脱敏管理，对数据进行分类分级，实行数据应归尽归、统一管理。</w:t>
      </w:r>
    </w:p>
    <w:p w:rsidR="00C34A8A" w:rsidRDefault="00FD5D49">
      <w:pPr>
        <w:pStyle w:val="afff"/>
        <w:spacing w:before="156" w:after="156"/>
      </w:pPr>
      <w:r>
        <w:rPr>
          <w:rFonts w:hint="eastAsia"/>
        </w:rPr>
        <w:t>数据资源库管理</w:t>
      </w:r>
    </w:p>
    <w:p w:rsidR="00C34A8A" w:rsidRDefault="00FD5D49">
      <w:pPr>
        <w:pStyle w:val="afffff5"/>
        <w:ind w:firstLine="420"/>
      </w:pPr>
      <w:r>
        <w:rPr>
          <w:rFonts w:hint="eastAsia"/>
        </w:rPr>
        <w:t>支持对数据资源库进行管理，包括数据资源库的新增、编辑、删除，</w:t>
      </w:r>
      <w:r>
        <w:rPr>
          <w:rFonts w:hint="eastAsia"/>
        </w:rPr>
        <w:t>数据资源库包含记录以下信息：资产库名称、发布上线日期、资产库状态。</w:t>
      </w:r>
    </w:p>
    <w:p w:rsidR="00C34A8A" w:rsidRDefault="00FD5D49">
      <w:pPr>
        <w:pStyle w:val="afff"/>
        <w:spacing w:before="156" w:after="156"/>
      </w:pPr>
      <w:r>
        <w:rPr>
          <w:rFonts w:hint="eastAsia"/>
        </w:rPr>
        <w:t>数据资源目录管理</w:t>
      </w:r>
    </w:p>
    <w:p w:rsidR="00C34A8A" w:rsidRDefault="00FD5D49">
      <w:pPr>
        <w:pStyle w:val="afffff5"/>
        <w:ind w:firstLine="420"/>
      </w:pPr>
      <w:r>
        <w:rPr>
          <w:rFonts w:hint="eastAsia"/>
        </w:rPr>
        <w:t>支持在数据资源库下对数据库</w:t>
      </w:r>
      <w:r>
        <w:rPr>
          <w:rFonts w:hint="eastAsia"/>
        </w:rPr>
        <w:t>资源</w:t>
      </w:r>
      <w:r>
        <w:rPr>
          <w:rFonts w:hint="eastAsia"/>
        </w:rPr>
        <w:t>目录进行管理，包括数据资源目录的新增、编辑、删除，数据资源目录包含记录以下信息：数据资源目录名称、业务单位处室、一级目录（项）、二级目录（目）、三级目录（细目）、更新周期。</w:t>
      </w:r>
    </w:p>
    <w:p w:rsidR="00C34A8A" w:rsidRDefault="00FD5D49">
      <w:pPr>
        <w:pStyle w:val="afff"/>
        <w:spacing w:before="156" w:after="156"/>
      </w:pPr>
      <w:r>
        <w:rPr>
          <w:rFonts w:hint="eastAsia"/>
        </w:rPr>
        <w:t>数据资源清单管理</w:t>
      </w:r>
    </w:p>
    <w:p w:rsidR="00C34A8A" w:rsidRDefault="00FD5D49">
      <w:pPr>
        <w:pStyle w:val="afffff5"/>
        <w:ind w:firstLine="420"/>
      </w:pPr>
      <w:r>
        <w:rPr>
          <w:rFonts w:hint="eastAsia"/>
        </w:rPr>
        <w:t>支持在数据资源目录下对数据资源清单进行管理，包括数据资源目录的新增、编辑、删除，数据资源清单包含记录以下信息：数据资源名称、资产描述、归口管理部门、来源系统、业务描述，并支持与数据库表建立绑定关系。</w:t>
      </w:r>
    </w:p>
    <w:p w:rsidR="00C34A8A" w:rsidRDefault="00FD5D49">
      <w:pPr>
        <w:pStyle w:val="afff"/>
        <w:spacing w:before="156" w:after="156"/>
      </w:pPr>
      <w:r>
        <w:rPr>
          <w:rFonts w:hint="eastAsia"/>
        </w:rPr>
        <w:t>数据</w:t>
      </w:r>
      <w:r>
        <w:rPr>
          <w:rFonts w:hint="eastAsia"/>
        </w:rPr>
        <w:t>资源脱敏管理</w:t>
      </w:r>
    </w:p>
    <w:p w:rsidR="00C34A8A" w:rsidRDefault="00FD5D49">
      <w:pPr>
        <w:pStyle w:val="afffff5"/>
        <w:ind w:firstLine="420"/>
      </w:pPr>
      <w:r>
        <w:rPr>
          <w:rFonts w:hint="eastAsia"/>
        </w:rPr>
        <w:t>支持对数据资源进行去标识化脱敏管理，包括通过数据处理框架功能对敏感信息设置脱敏规则进行数据的变形，以实现对敏感隐私数据的可靠保护。</w:t>
      </w:r>
    </w:p>
    <w:p w:rsidR="00C34A8A" w:rsidRDefault="00FD5D49">
      <w:pPr>
        <w:pStyle w:val="affe"/>
        <w:spacing w:before="156" w:after="156"/>
      </w:pPr>
      <w:r>
        <w:rPr>
          <w:rFonts w:hint="eastAsia"/>
        </w:rPr>
        <w:t>数据分类分级</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具备数据分类分级的能力，根据数据所涉及的主题范畴进行分类，以便更好地管理和使用数据。同时根据数据敏感程度，将数据分为不同级别，为数据全生命周期管理的安全策略制定提供支撑。</w:t>
      </w:r>
    </w:p>
    <w:p w:rsidR="00C34A8A" w:rsidRDefault="00FD5D49">
      <w:pPr>
        <w:pStyle w:val="afff"/>
        <w:spacing w:before="156" w:after="156"/>
      </w:pPr>
      <w:r>
        <w:rPr>
          <w:rFonts w:hint="eastAsia"/>
        </w:rPr>
        <w:t>数据分类</w:t>
      </w:r>
    </w:p>
    <w:p w:rsidR="00C34A8A" w:rsidRDefault="00FD5D49">
      <w:pPr>
        <w:pStyle w:val="afffff5"/>
        <w:ind w:firstLine="420"/>
      </w:pPr>
      <w:r>
        <w:rPr>
          <w:rFonts w:hint="eastAsia"/>
        </w:rPr>
        <w:t>支持按照数据资源所涉及的主题范畴，将数据按照主题进行分类，采取大类和小类两级分类法，具体如下表</w:t>
      </w:r>
      <w:r>
        <w:rPr>
          <w:rFonts w:hint="eastAsia"/>
        </w:rPr>
        <w:t>1</w:t>
      </w:r>
      <w:r>
        <w:rPr>
          <w:rFonts w:hint="eastAsia"/>
        </w:rPr>
        <w:t>所示。</w:t>
      </w:r>
    </w:p>
    <w:p w:rsidR="00C34A8A" w:rsidRDefault="00C34A8A">
      <w:pPr>
        <w:pStyle w:val="afffff5"/>
        <w:ind w:firstLine="420"/>
      </w:pPr>
    </w:p>
    <w:p w:rsidR="00C34A8A" w:rsidRDefault="00FD5D49">
      <w:pPr>
        <w:pStyle w:val="aff2"/>
        <w:spacing w:before="156" w:after="156"/>
      </w:pPr>
      <w:r>
        <w:rPr>
          <w:rFonts w:hint="eastAsia"/>
        </w:rPr>
        <w:t>按主题分类</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4354"/>
        <w:gridCol w:w="4970"/>
      </w:tblGrid>
      <w:tr w:rsidR="00C34A8A">
        <w:trPr>
          <w:tblHeader/>
          <w:jc w:val="center"/>
        </w:trPr>
        <w:tc>
          <w:tcPr>
            <w:tcW w:w="233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lastRenderedPageBreak/>
              <w:t>业务板块</w:t>
            </w:r>
          </w:p>
        </w:tc>
        <w:tc>
          <w:tcPr>
            <w:tcW w:w="266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业务主题</w:t>
            </w:r>
          </w:p>
        </w:tc>
      </w:tr>
      <w:tr w:rsidR="00C34A8A">
        <w:trPr>
          <w:jc w:val="center"/>
        </w:trPr>
        <w:tc>
          <w:tcPr>
            <w:tcW w:w="2335" w:type="pct"/>
            <w:vMerge w:val="restar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管理主体库</w:t>
            </w:r>
          </w:p>
        </w:tc>
        <w:tc>
          <w:tcPr>
            <w:tcW w:w="2665"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市场主体信息</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企业人员信息</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行政事业单位信息</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变更信息</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市场秩序库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广告监管</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价格监管</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网络交易监管</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反垄断监管</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消费维权</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监督检查库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日常检查</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专项检查</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双随机检查</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执法稽查库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执法办案</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举报投诉</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特种设备</w:t>
            </w:r>
            <w:proofErr w:type="gramStart"/>
            <w:r>
              <w:rPr>
                <w:rFonts w:hAnsi="宋体" w:hint="eastAsia"/>
                <w:szCs w:val="18"/>
              </w:rPr>
              <w:t>安全库</w:t>
            </w:r>
            <w:proofErr w:type="gramEnd"/>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许可信息</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登记使用</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设备检验</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维护保养</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应急救援</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食品</w:t>
            </w:r>
            <w:proofErr w:type="gramStart"/>
            <w:r>
              <w:rPr>
                <w:rFonts w:hAnsi="宋体" w:hint="eastAsia"/>
                <w:szCs w:val="18"/>
              </w:rPr>
              <w:t>安全库</w:t>
            </w:r>
            <w:proofErr w:type="gramEnd"/>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食品生产</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食品经营</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食品抽检</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食品快检</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特殊食品</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药品</w:t>
            </w:r>
            <w:proofErr w:type="gramStart"/>
            <w:r>
              <w:rPr>
                <w:rFonts w:hAnsi="宋体" w:hint="eastAsia"/>
                <w:szCs w:val="18"/>
              </w:rPr>
              <w:t>安全库</w:t>
            </w:r>
            <w:proofErr w:type="gramEnd"/>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药品</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医疗器械</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化妆品</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信用监管库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信用公示</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经营异常</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严重违法</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双随机</w:t>
            </w:r>
            <w:proofErr w:type="gramStart"/>
            <w:r>
              <w:rPr>
                <w:rFonts w:ascii="宋体" w:hAnsi="宋体" w:hint="eastAsia"/>
                <w:sz w:val="18"/>
                <w:szCs w:val="18"/>
              </w:rPr>
              <w:t>一</w:t>
            </w:r>
            <w:proofErr w:type="gramEnd"/>
            <w:r>
              <w:rPr>
                <w:rFonts w:ascii="宋体" w:hAnsi="宋体" w:hint="eastAsia"/>
                <w:sz w:val="18"/>
                <w:szCs w:val="18"/>
              </w:rPr>
              <w:t>公开</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黑名单</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年报信息</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工业产品监管库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工业产品获证企业</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重点工业产品</w:t>
            </w:r>
          </w:p>
        </w:tc>
      </w:tr>
    </w:tbl>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1 </w:t>
      </w:r>
      <w:r>
        <w:rPr>
          <w:rFonts w:ascii="黑体" w:eastAsia="黑体" w:hAnsi="黑体" w:hint="eastAsia"/>
        </w:rPr>
        <w:t>按主题分类</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4354"/>
        <w:gridCol w:w="4970"/>
      </w:tblGrid>
      <w:tr w:rsidR="00C34A8A">
        <w:trPr>
          <w:tblHeader/>
          <w:jc w:val="center"/>
        </w:trPr>
        <w:tc>
          <w:tcPr>
            <w:tcW w:w="233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业务板块</w:t>
            </w:r>
          </w:p>
        </w:tc>
        <w:tc>
          <w:tcPr>
            <w:tcW w:w="266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业务主题</w:t>
            </w:r>
          </w:p>
        </w:tc>
      </w:tr>
      <w:tr w:rsidR="00C34A8A">
        <w:trPr>
          <w:jc w:val="center"/>
        </w:trPr>
        <w:tc>
          <w:tcPr>
            <w:tcW w:w="2335" w:type="pct"/>
            <w:vMerge w:val="restar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知识产权库</w:t>
            </w:r>
          </w:p>
        </w:tc>
        <w:tc>
          <w:tcPr>
            <w:tcW w:w="2665"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商标</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专利</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地理标志</w:t>
            </w:r>
          </w:p>
        </w:tc>
      </w:tr>
      <w:tr w:rsidR="00C34A8A">
        <w:trPr>
          <w:jc w:val="center"/>
        </w:trPr>
        <w:tc>
          <w:tcPr>
            <w:tcW w:w="2335" w:type="pct"/>
            <w:vMerge w:val="restart"/>
            <w:shd w:val="clear" w:color="auto" w:fill="auto"/>
            <w:vAlign w:val="center"/>
          </w:tcPr>
          <w:p w:rsidR="00C34A8A" w:rsidRDefault="00FD5D49">
            <w:pPr>
              <w:pStyle w:val="afffffffff9"/>
              <w:rPr>
                <w:rFonts w:hAnsi="宋体"/>
                <w:szCs w:val="18"/>
              </w:rPr>
            </w:pPr>
            <w:r>
              <w:rPr>
                <w:rFonts w:hAnsi="宋体" w:hint="eastAsia"/>
                <w:szCs w:val="18"/>
              </w:rPr>
              <w:t>质量提升库</w:t>
            </w: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标准化</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计量</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认证</w:t>
            </w:r>
          </w:p>
        </w:tc>
      </w:tr>
      <w:tr w:rsidR="00C34A8A">
        <w:trPr>
          <w:jc w:val="center"/>
        </w:trPr>
        <w:tc>
          <w:tcPr>
            <w:tcW w:w="2335" w:type="pct"/>
            <w:vMerge/>
            <w:shd w:val="clear" w:color="auto" w:fill="auto"/>
            <w:vAlign w:val="center"/>
          </w:tcPr>
          <w:p w:rsidR="00C34A8A" w:rsidRDefault="00C34A8A">
            <w:pPr>
              <w:pStyle w:val="afffffffff9"/>
              <w:rPr>
                <w:rFonts w:hAnsi="宋体"/>
                <w:szCs w:val="18"/>
              </w:rPr>
            </w:pPr>
          </w:p>
        </w:tc>
        <w:tc>
          <w:tcPr>
            <w:tcW w:w="266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认可与检验检测</w:t>
            </w:r>
          </w:p>
        </w:tc>
      </w:tr>
    </w:tbl>
    <w:p w:rsidR="00C34A8A" w:rsidRDefault="00FD5D49">
      <w:pPr>
        <w:pStyle w:val="afff"/>
        <w:spacing w:before="156" w:after="156"/>
      </w:pPr>
      <w:r>
        <w:rPr>
          <w:rFonts w:hint="eastAsia"/>
        </w:rPr>
        <w:t>数据分级</w:t>
      </w:r>
    </w:p>
    <w:p w:rsidR="00C34A8A" w:rsidRDefault="00FD5D49">
      <w:pPr>
        <w:pStyle w:val="afffff5"/>
        <w:ind w:firstLine="420"/>
      </w:pPr>
      <w:r>
        <w:rPr>
          <w:rFonts w:hint="eastAsia"/>
        </w:rPr>
        <w:t>支持将数据根据敏感程度分级，敏感程度指发现系统中的敏感数据，从高到低划分为四级、三级、二级和一级，相关说明如下表</w:t>
      </w:r>
      <w:r>
        <w:rPr>
          <w:rFonts w:hint="eastAsia"/>
        </w:rPr>
        <w:t>2</w:t>
      </w:r>
      <w:r>
        <w:rPr>
          <w:rFonts w:hint="eastAsia"/>
        </w:rPr>
        <w:t>所示。</w:t>
      </w:r>
    </w:p>
    <w:p w:rsidR="00C34A8A" w:rsidRDefault="00FD5D49">
      <w:pPr>
        <w:pStyle w:val="aff2"/>
        <w:spacing w:before="156" w:after="156"/>
      </w:pPr>
      <w:proofErr w:type="gramStart"/>
      <w:r>
        <w:rPr>
          <w:rFonts w:hint="eastAsia"/>
        </w:rPr>
        <w:t>按数据</w:t>
      </w:r>
      <w:proofErr w:type="gramEnd"/>
      <w:r>
        <w:rPr>
          <w:rFonts w:hint="eastAsia"/>
        </w:rPr>
        <w:t>敏感程度分级</w:t>
      </w:r>
    </w:p>
    <w:tbl>
      <w:tblPr>
        <w:tblStyle w:val="affff7"/>
        <w:tblW w:w="0" w:type="auto"/>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981"/>
        <w:gridCol w:w="1274"/>
        <w:gridCol w:w="4390"/>
        <w:gridCol w:w="1274"/>
        <w:gridCol w:w="1405"/>
      </w:tblGrid>
      <w:tr w:rsidR="00C34A8A">
        <w:trPr>
          <w:tblHeader/>
          <w:jc w:val="center"/>
        </w:trPr>
        <w:tc>
          <w:tcPr>
            <w:tcW w:w="983"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安全等级</w:t>
            </w:r>
          </w:p>
        </w:tc>
        <w:tc>
          <w:tcPr>
            <w:tcW w:w="1275"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敏感程度</w:t>
            </w:r>
          </w:p>
        </w:tc>
        <w:tc>
          <w:tcPr>
            <w:tcW w:w="4395"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影响程度</w:t>
            </w:r>
          </w:p>
        </w:tc>
        <w:tc>
          <w:tcPr>
            <w:tcW w:w="1275"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共享属性</w:t>
            </w:r>
          </w:p>
        </w:tc>
        <w:tc>
          <w:tcPr>
            <w:tcW w:w="1406"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开放属性</w:t>
            </w:r>
          </w:p>
        </w:tc>
      </w:tr>
      <w:tr w:rsidR="00C34A8A">
        <w:trPr>
          <w:jc w:val="center"/>
        </w:trPr>
        <w:tc>
          <w:tcPr>
            <w:tcW w:w="983"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四级</w:t>
            </w:r>
          </w:p>
        </w:tc>
        <w:tc>
          <w:tcPr>
            <w:tcW w:w="1275"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高敏感数据</w:t>
            </w:r>
          </w:p>
        </w:tc>
        <w:tc>
          <w:tcPr>
            <w:tcW w:w="4395"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数据在被篡改、破坏、泄露或非法获取、非法利用后造成严重影响。</w:t>
            </w:r>
          </w:p>
        </w:tc>
        <w:tc>
          <w:tcPr>
            <w:tcW w:w="1275"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严格条件共享</w:t>
            </w:r>
            <w:r>
              <w:rPr>
                <w:rFonts w:ascii="宋体" w:hAnsi="宋体" w:hint="eastAsia"/>
                <w:sz w:val="18"/>
                <w:szCs w:val="18"/>
              </w:rPr>
              <w:t>/</w:t>
            </w:r>
          </w:p>
          <w:p w:rsidR="00C34A8A" w:rsidRDefault="00FD5D49">
            <w:pPr>
              <w:spacing w:line="240" w:lineRule="auto"/>
              <w:jc w:val="center"/>
              <w:rPr>
                <w:rFonts w:ascii="宋体" w:hAnsi="宋体"/>
                <w:sz w:val="18"/>
                <w:szCs w:val="18"/>
              </w:rPr>
            </w:pPr>
            <w:r>
              <w:rPr>
                <w:rFonts w:ascii="宋体" w:hAnsi="宋体" w:hint="eastAsia"/>
                <w:sz w:val="18"/>
                <w:szCs w:val="18"/>
              </w:rPr>
              <w:t>不予共享</w:t>
            </w:r>
          </w:p>
        </w:tc>
        <w:tc>
          <w:tcPr>
            <w:tcW w:w="1406"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不予开放</w:t>
            </w:r>
          </w:p>
        </w:tc>
      </w:tr>
      <w:tr w:rsidR="00C34A8A">
        <w:trPr>
          <w:jc w:val="center"/>
        </w:trPr>
        <w:tc>
          <w:tcPr>
            <w:tcW w:w="98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三级</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敏感数据</w:t>
            </w:r>
          </w:p>
        </w:tc>
        <w:tc>
          <w:tcPr>
            <w:tcW w:w="439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数据在被篡改、破坏、泄露或非法获取、非法利用后造成一般影响。</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严格条件共享</w:t>
            </w:r>
          </w:p>
        </w:tc>
        <w:tc>
          <w:tcPr>
            <w:tcW w:w="1406"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严格条件开放</w:t>
            </w:r>
            <w:r>
              <w:rPr>
                <w:rFonts w:ascii="宋体" w:hAnsi="宋体" w:hint="eastAsia"/>
                <w:sz w:val="18"/>
                <w:szCs w:val="18"/>
              </w:rPr>
              <w:t>/</w:t>
            </w:r>
          </w:p>
          <w:p w:rsidR="00C34A8A" w:rsidRDefault="00FD5D49">
            <w:pPr>
              <w:spacing w:line="240" w:lineRule="auto"/>
              <w:jc w:val="center"/>
              <w:rPr>
                <w:rFonts w:ascii="宋体" w:hAnsi="宋体"/>
                <w:sz w:val="18"/>
                <w:szCs w:val="18"/>
              </w:rPr>
            </w:pPr>
            <w:r>
              <w:rPr>
                <w:rFonts w:ascii="宋体" w:hAnsi="宋体" w:hint="eastAsia"/>
                <w:sz w:val="18"/>
                <w:szCs w:val="18"/>
              </w:rPr>
              <w:t>不予开放</w:t>
            </w:r>
          </w:p>
        </w:tc>
      </w:tr>
      <w:tr w:rsidR="00C34A8A">
        <w:trPr>
          <w:jc w:val="center"/>
        </w:trPr>
        <w:tc>
          <w:tcPr>
            <w:tcW w:w="98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二级</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低敏感数据</w:t>
            </w:r>
          </w:p>
        </w:tc>
        <w:tc>
          <w:tcPr>
            <w:tcW w:w="439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数据在被篡改、破坏、泄露或非法获取、非法利用后造成轻微影响。</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一般条件共享</w:t>
            </w:r>
          </w:p>
        </w:tc>
        <w:tc>
          <w:tcPr>
            <w:tcW w:w="1406"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一般条件开放</w:t>
            </w:r>
          </w:p>
        </w:tc>
      </w:tr>
      <w:tr w:rsidR="00C34A8A">
        <w:trPr>
          <w:jc w:val="center"/>
        </w:trPr>
        <w:tc>
          <w:tcPr>
            <w:tcW w:w="98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一级</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不敏感数据</w:t>
            </w:r>
          </w:p>
        </w:tc>
        <w:tc>
          <w:tcPr>
            <w:tcW w:w="439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数据在被篡改、破坏、泄露或非法获取、非法利用后无影响。</w:t>
            </w:r>
          </w:p>
        </w:tc>
        <w:tc>
          <w:tcPr>
            <w:tcW w:w="127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无条件共享</w:t>
            </w:r>
          </w:p>
        </w:tc>
        <w:tc>
          <w:tcPr>
            <w:tcW w:w="1406"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无条件开放</w:t>
            </w:r>
          </w:p>
        </w:tc>
      </w:tr>
    </w:tbl>
    <w:p w:rsidR="00C34A8A" w:rsidRDefault="00FD5D49">
      <w:pPr>
        <w:pStyle w:val="affe"/>
        <w:spacing w:before="156" w:after="156"/>
      </w:pPr>
      <w:r>
        <w:rPr>
          <w:rFonts w:hint="eastAsia"/>
        </w:rPr>
        <w:t>数据标准管理</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具备数据标准管理的能力，以建设市场监管数据标准体系，保证数据定义和使用的一致性和规范性，是数据资源管理的重要依据。</w:t>
      </w:r>
    </w:p>
    <w:p w:rsidR="00C34A8A" w:rsidRDefault="00FD5D49">
      <w:pPr>
        <w:pStyle w:val="afff"/>
        <w:spacing w:before="156" w:after="156"/>
      </w:pPr>
      <w:r>
        <w:rPr>
          <w:rFonts w:hint="eastAsia"/>
        </w:rPr>
        <w:t>数据标准制定</w:t>
      </w:r>
    </w:p>
    <w:p w:rsidR="00C34A8A" w:rsidRDefault="00FD5D49">
      <w:pPr>
        <w:pStyle w:val="afffff5"/>
        <w:ind w:firstLine="420"/>
      </w:pPr>
      <w:r>
        <w:rPr>
          <w:rFonts w:hint="eastAsia"/>
        </w:rPr>
        <w:t>支持数据标准的制定，对数据资源的标准进行定义，包括字段名称、字段类型、字段长度、编码规则、是否允许空值等标准。</w:t>
      </w:r>
    </w:p>
    <w:p w:rsidR="00C34A8A" w:rsidRDefault="00FD5D49">
      <w:pPr>
        <w:pStyle w:val="afff"/>
        <w:spacing w:before="156" w:after="156"/>
      </w:pPr>
      <w:r>
        <w:rPr>
          <w:rFonts w:hint="eastAsia"/>
        </w:rPr>
        <w:t>数据标准执行</w:t>
      </w:r>
    </w:p>
    <w:p w:rsidR="00C34A8A" w:rsidRDefault="00FD5D49">
      <w:pPr>
        <w:pStyle w:val="afffff5"/>
        <w:ind w:firstLine="420"/>
      </w:pPr>
      <w:r>
        <w:rPr>
          <w:rFonts w:hint="eastAsia"/>
        </w:rPr>
        <w:t>支持数据标准的检测执行，对需要应用数据标准的数据表进行检测，产出分析结果。</w:t>
      </w:r>
    </w:p>
    <w:p w:rsidR="00C34A8A" w:rsidRDefault="00FD5D49">
      <w:pPr>
        <w:pStyle w:val="afff"/>
        <w:spacing w:before="156" w:after="156"/>
      </w:pPr>
      <w:r>
        <w:rPr>
          <w:rFonts w:hint="eastAsia"/>
        </w:rPr>
        <w:t>数据标准浏览</w:t>
      </w:r>
    </w:p>
    <w:p w:rsidR="00C34A8A" w:rsidRDefault="00FD5D49">
      <w:pPr>
        <w:pStyle w:val="afffff5"/>
        <w:ind w:firstLine="420"/>
      </w:pPr>
      <w:r>
        <w:rPr>
          <w:rFonts w:hint="eastAsia"/>
        </w:rPr>
        <w:t>支持数据标准的浏览，提供对已建立数据标准概览信息、明细信息的查询查看功能。</w:t>
      </w:r>
    </w:p>
    <w:p w:rsidR="00C34A8A" w:rsidRDefault="00FD5D49">
      <w:pPr>
        <w:pStyle w:val="affe"/>
        <w:spacing w:before="156" w:after="156"/>
      </w:pPr>
      <w:r>
        <w:rPr>
          <w:rFonts w:hint="eastAsia"/>
        </w:rPr>
        <w:t>数据质量管理</w:t>
      </w:r>
    </w:p>
    <w:p w:rsidR="00C34A8A" w:rsidRDefault="00FD5D49">
      <w:pPr>
        <w:pStyle w:val="afff"/>
        <w:spacing w:before="156" w:after="156"/>
      </w:pPr>
      <w:r>
        <w:rPr>
          <w:rFonts w:hint="eastAsia"/>
        </w:rPr>
        <w:lastRenderedPageBreak/>
        <w:t>总则</w:t>
      </w:r>
    </w:p>
    <w:p w:rsidR="00C34A8A" w:rsidRDefault="00FD5D49">
      <w:pPr>
        <w:pStyle w:val="afffff5"/>
        <w:ind w:firstLine="420"/>
      </w:pPr>
      <w:r>
        <w:rPr>
          <w:rFonts w:hint="eastAsia"/>
        </w:rPr>
        <w:t>具备数据质量管理的能力，建立数据质量检测规则，识别问题数据，生成质量分</w:t>
      </w:r>
      <w:r>
        <w:rPr>
          <w:rFonts w:hint="eastAsia"/>
        </w:rPr>
        <w:t>析报告、评估数据治理效能，落实数据治理责任，提升数据的准确性。</w:t>
      </w:r>
    </w:p>
    <w:p w:rsidR="00C34A8A" w:rsidRDefault="00FD5D49">
      <w:pPr>
        <w:pStyle w:val="afff"/>
        <w:spacing w:before="156" w:after="156"/>
      </w:pPr>
      <w:r>
        <w:rPr>
          <w:rFonts w:hint="eastAsia"/>
        </w:rPr>
        <w:t>数据质量检测管理</w:t>
      </w:r>
    </w:p>
    <w:p w:rsidR="00C34A8A" w:rsidRDefault="00FD5D49">
      <w:pPr>
        <w:pStyle w:val="afffff5"/>
        <w:ind w:firstLine="420"/>
      </w:pPr>
      <w:r>
        <w:rPr>
          <w:rFonts w:hint="eastAsia"/>
        </w:rPr>
        <w:t>具备全面的数据质量检测管理能力，包括新建数据质量检测任务、配置任务属性、自定义检测规则以及发布检测任务等功能。这一管理能力应嵌入数据治理的全生命周期中，确保数据治理流程的规范化和系统化。</w:t>
      </w:r>
    </w:p>
    <w:p w:rsidR="00C34A8A" w:rsidRDefault="00FD5D49">
      <w:pPr>
        <w:pStyle w:val="afff"/>
        <w:spacing w:before="156" w:after="156"/>
      </w:pPr>
      <w:r>
        <w:rPr>
          <w:rFonts w:hint="eastAsia"/>
        </w:rPr>
        <w:t>数据质量检测执行</w:t>
      </w:r>
    </w:p>
    <w:p w:rsidR="00C34A8A" w:rsidRDefault="00FD5D49">
      <w:pPr>
        <w:pStyle w:val="afffff5"/>
        <w:ind w:firstLine="420"/>
      </w:pPr>
      <w:r>
        <w:rPr>
          <w:rFonts w:hint="eastAsia"/>
        </w:rPr>
        <w:t>具备数据质量检测任务定时自动、手动执行的能力，并提供保存检测任务执行后产生日志的功能。</w:t>
      </w:r>
    </w:p>
    <w:p w:rsidR="00C34A8A" w:rsidRDefault="00FD5D49">
      <w:pPr>
        <w:pStyle w:val="afff"/>
        <w:spacing w:before="156" w:after="156"/>
      </w:pPr>
      <w:r>
        <w:rPr>
          <w:rFonts w:hint="eastAsia"/>
        </w:rPr>
        <w:t>数据质量检测分析</w:t>
      </w:r>
    </w:p>
    <w:p w:rsidR="00C34A8A" w:rsidRDefault="00FD5D49">
      <w:pPr>
        <w:pStyle w:val="afffff5"/>
        <w:ind w:firstLine="420"/>
      </w:pPr>
      <w:r>
        <w:rPr>
          <w:rFonts w:hint="eastAsia"/>
        </w:rPr>
        <w:t>具备数据质量检测后结果分析的能力，提供查询数据质量检测任务产生日志的功能，并支持根据执行状态、检测对象名称进行查询。根</w:t>
      </w:r>
      <w:r>
        <w:rPr>
          <w:rFonts w:hint="eastAsia"/>
        </w:rPr>
        <w:t>据检测发现问题，生成检测报告，并提供报告浏览和导出功能，支持根据指定检测对象来源单位、指定之间范围，浏览、导出对应的报告。</w:t>
      </w:r>
    </w:p>
    <w:p w:rsidR="00C34A8A" w:rsidRDefault="00FD5D49">
      <w:pPr>
        <w:pStyle w:val="afff"/>
        <w:spacing w:before="156" w:after="156"/>
      </w:pPr>
      <w:r>
        <w:rPr>
          <w:rFonts w:hint="eastAsia"/>
        </w:rPr>
        <w:t>数据质量检测结果</w:t>
      </w:r>
    </w:p>
    <w:p w:rsidR="00C34A8A" w:rsidRDefault="00FD5D49">
      <w:pPr>
        <w:pStyle w:val="afffff5"/>
        <w:ind w:firstLine="420"/>
      </w:pPr>
      <w:r>
        <w:rPr>
          <w:rFonts w:hint="eastAsia"/>
        </w:rPr>
        <w:t>具备数据质量检测结果查看的能力，提供下钻查看该规则的错误明细数据的功能。</w:t>
      </w:r>
    </w:p>
    <w:p w:rsidR="00C34A8A" w:rsidRDefault="00FD5D49">
      <w:pPr>
        <w:pStyle w:val="affe"/>
        <w:spacing w:before="156" w:after="156"/>
      </w:pPr>
      <w:r>
        <w:rPr>
          <w:rFonts w:hint="eastAsia"/>
        </w:rPr>
        <w:t>数据监控管理</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具备数据监控管理的能力，对数据归集运行、报送、加工调度、用户异常行为、数据存储、备份、平台运行等多方面进行监控，从而保证数据的安全性和稳定性。</w:t>
      </w:r>
    </w:p>
    <w:p w:rsidR="00C34A8A" w:rsidRDefault="00FD5D49">
      <w:pPr>
        <w:pStyle w:val="afff"/>
        <w:spacing w:before="156" w:after="156"/>
      </w:pPr>
      <w:r>
        <w:rPr>
          <w:rFonts w:hint="eastAsia"/>
        </w:rPr>
        <w:t>数据共享归集监控</w:t>
      </w:r>
    </w:p>
    <w:p w:rsidR="00C34A8A" w:rsidRDefault="00FD5D49">
      <w:pPr>
        <w:pStyle w:val="afffff5"/>
        <w:ind w:firstLine="420"/>
      </w:pPr>
      <w:r>
        <w:rPr>
          <w:rFonts w:hint="eastAsia"/>
        </w:rPr>
        <w:t>具备对接入单位行为、数据传输的监控能力，记录接入单位在系统中的各种行为，包含登录系统、下载数据、通过</w:t>
      </w:r>
      <w:r>
        <w:rPr>
          <w:rFonts w:hint="eastAsia"/>
        </w:rPr>
        <w:t>API</w:t>
      </w:r>
      <w:r>
        <w:rPr>
          <w:rFonts w:hint="eastAsia"/>
        </w:rPr>
        <w:t>接口获取</w:t>
      </w:r>
      <w:r>
        <w:rPr>
          <w:rFonts w:hint="eastAsia"/>
        </w:rPr>
        <w:t>数据、上传数据、通过</w:t>
      </w:r>
      <w:r>
        <w:rPr>
          <w:rFonts w:hint="eastAsia"/>
        </w:rPr>
        <w:t>API</w:t>
      </w:r>
      <w:r>
        <w:rPr>
          <w:rFonts w:hint="eastAsia"/>
        </w:rPr>
        <w:t>接口回写数据、修改账户信息、获取数据、回写数据。</w:t>
      </w:r>
    </w:p>
    <w:p w:rsidR="00C34A8A" w:rsidRDefault="00FD5D49">
      <w:pPr>
        <w:pStyle w:val="afff"/>
        <w:spacing w:before="156" w:after="156"/>
      </w:pPr>
      <w:r>
        <w:rPr>
          <w:rFonts w:hint="eastAsia"/>
        </w:rPr>
        <w:t>数据加工监控</w:t>
      </w:r>
    </w:p>
    <w:p w:rsidR="00C34A8A" w:rsidRDefault="00FD5D49">
      <w:pPr>
        <w:pStyle w:val="afffff5"/>
        <w:ind w:firstLine="420"/>
      </w:pPr>
      <w:r>
        <w:rPr>
          <w:rFonts w:hint="eastAsia"/>
        </w:rPr>
        <w:t>具备监控中心数据融合加工任务的执行状况的能力，提供监控实时执行状况以及历史执行状况的功能。监控展示任务总量、成功执行数量、失败数量、中止数量以及正在执行中的任务量。</w:t>
      </w:r>
    </w:p>
    <w:p w:rsidR="00C34A8A" w:rsidRDefault="00FD5D49">
      <w:pPr>
        <w:pStyle w:val="afff"/>
        <w:spacing w:before="156" w:after="156"/>
      </w:pPr>
      <w:r>
        <w:rPr>
          <w:rFonts w:hint="eastAsia"/>
        </w:rPr>
        <w:t>数据库备份监控</w:t>
      </w:r>
    </w:p>
    <w:p w:rsidR="00C34A8A" w:rsidRDefault="00FD5D49">
      <w:pPr>
        <w:pStyle w:val="afffff5"/>
        <w:ind w:firstLine="420"/>
      </w:pPr>
      <w:r>
        <w:rPr>
          <w:rFonts w:hint="eastAsia"/>
        </w:rPr>
        <w:t>具备监控数据备份情况的能力，避免未及时备份导致的数据丢失。</w:t>
      </w:r>
    </w:p>
    <w:p w:rsidR="00C34A8A" w:rsidRDefault="00FD5D49">
      <w:pPr>
        <w:pStyle w:val="afff"/>
        <w:spacing w:before="156" w:after="156"/>
      </w:pPr>
      <w:r>
        <w:rPr>
          <w:rFonts w:hint="eastAsia"/>
        </w:rPr>
        <w:t>数据表空间监控</w:t>
      </w:r>
    </w:p>
    <w:p w:rsidR="00C34A8A" w:rsidRDefault="00FD5D49">
      <w:pPr>
        <w:pStyle w:val="afffff5"/>
        <w:ind w:firstLine="420"/>
      </w:pPr>
      <w:r>
        <w:rPr>
          <w:rFonts w:hint="eastAsia"/>
        </w:rPr>
        <w:t>具备监控</w:t>
      </w:r>
      <w:proofErr w:type="gramStart"/>
      <w:r>
        <w:rPr>
          <w:rFonts w:hint="eastAsia"/>
        </w:rPr>
        <w:t>表空间</w:t>
      </w:r>
      <w:proofErr w:type="gramEnd"/>
      <w:r>
        <w:rPr>
          <w:rFonts w:hint="eastAsia"/>
        </w:rPr>
        <w:t>利用情况的能力，以便及时清理或增加资源，包括已使用空间，剩余空间，使用率。</w:t>
      </w:r>
    </w:p>
    <w:p w:rsidR="00C34A8A" w:rsidRDefault="00FD5D49">
      <w:pPr>
        <w:pStyle w:val="afff"/>
        <w:spacing w:before="156" w:after="156"/>
      </w:pPr>
      <w:r>
        <w:rPr>
          <w:rFonts w:hint="eastAsia"/>
        </w:rPr>
        <w:t>用户使用监控</w:t>
      </w:r>
    </w:p>
    <w:p w:rsidR="00C34A8A" w:rsidRDefault="00FD5D49">
      <w:pPr>
        <w:pStyle w:val="afffff5"/>
        <w:ind w:firstLine="420"/>
      </w:pPr>
      <w:r>
        <w:rPr>
          <w:rFonts w:hint="eastAsia"/>
        </w:rPr>
        <w:lastRenderedPageBreak/>
        <w:t>具备用户异常行为监控的能力，通过用户访问记录、运</w:t>
      </w:r>
      <w:proofErr w:type="gramStart"/>
      <w:r>
        <w:rPr>
          <w:rFonts w:hint="eastAsia"/>
        </w:rPr>
        <w:t>维人员</w:t>
      </w:r>
      <w:proofErr w:type="gramEnd"/>
      <w:r>
        <w:rPr>
          <w:rFonts w:hint="eastAsia"/>
        </w:rPr>
        <w:t>的日志，实现管理人员对不同的业务人员行为日志的监控，避免由于业务人员的非常规操作对数据进行窃取，从而造成不必要的人为损失。</w:t>
      </w:r>
    </w:p>
    <w:p w:rsidR="00C34A8A" w:rsidRDefault="00FD5D49">
      <w:pPr>
        <w:pStyle w:val="affe"/>
        <w:spacing w:before="156" w:after="156"/>
      </w:pPr>
      <w:r>
        <w:rPr>
          <w:rFonts w:hint="eastAsia"/>
        </w:rPr>
        <w:t>数据标签管理</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具备数据标签管理的能力，提供为数据添加标记和说明的功能，利用标签对数据进行筛选、定位，以便通过数据标签可以方便地查询数据。</w:t>
      </w:r>
    </w:p>
    <w:p w:rsidR="00C34A8A" w:rsidRDefault="00FD5D49">
      <w:pPr>
        <w:pStyle w:val="afff"/>
        <w:spacing w:before="156" w:after="156"/>
      </w:pPr>
      <w:r>
        <w:rPr>
          <w:rFonts w:hint="eastAsia"/>
        </w:rPr>
        <w:t>数据标签分类管理</w:t>
      </w:r>
    </w:p>
    <w:p w:rsidR="00C34A8A" w:rsidRDefault="00FD5D49">
      <w:pPr>
        <w:pStyle w:val="afffff5"/>
        <w:ind w:firstLine="420"/>
      </w:pPr>
      <w:r>
        <w:rPr>
          <w:rFonts w:hint="eastAsia"/>
        </w:rPr>
        <w:t>具备数据标签分类管理的能力，提供数据标签分类新增、删除、修改、查询的功能。可根据具体需求建立标签体系，将标签分类为基础标签、部门标签、区域标签等。</w:t>
      </w:r>
    </w:p>
    <w:p w:rsidR="00C34A8A" w:rsidRDefault="00FD5D49">
      <w:pPr>
        <w:pStyle w:val="afff"/>
        <w:spacing w:before="156" w:after="156"/>
      </w:pPr>
      <w:r>
        <w:rPr>
          <w:rFonts w:hint="eastAsia"/>
        </w:rPr>
        <w:t>数据标签属性管理</w:t>
      </w:r>
    </w:p>
    <w:p w:rsidR="00C34A8A" w:rsidRDefault="00FD5D49">
      <w:pPr>
        <w:pStyle w:val="afffff5"/>
        <w:ind w:firstLine="420"/>
      </w:pPr>
      <w:r>
        <w:rPr>
          <w:rFonts w:hint="eastAsia"/>
        </w:rPr>
        <w:t>具备数据标签属性管理的能力，按标签性质可分为物理标签和逻辑标签，按标签使用对象可分为物理表标签和数据行标签。</w:t>
      </w:r>
    </w:p>
    <w:p w:rsidR="00C34A8A" w:rsidRDefault="00FD5D49">
      <w:pPr>
        <w:pStyle w:val="afff"/>
        <w:spacing w:before="156" w:after="156"/>
      </w:pPr>
      <w:r>
        <w:rPr>
          <w:rFonts w:hint="eastAsia"/>
        </w:rPr>
        <w:t>数据打标</w:t>
      </w:r>
    </w:p>
    <w:p w:rsidR="00C34A8A" w:rsidRDefault="00FD5D49">
      <w:pPr>
        <w:pStyle w:val="afffff5"/>
        <w:ind w:firstLine="420"/>
      </w:pPr>
      <w:r>
        <w:rPr>
          <w:rFonts w:hint="eastAsia"/>
        </w:rPr>
        <w:t>具备数据打标的能力，提供包括两类维度</w:t>
      </w:r>
      <w:proofErr w:type="gramStart"/>
      <w:r>
        <w:rPr>
          <w:rFonts w:hint="eastAsia"/>
        </w:rPr>
        <w:t>的打标功能</w:t>
      </w:r>
      <w:proofErr w:type="gramEnd"/>
      <w:r>
        <w:rPr>
          <w:rFonts w:hint="eastAsia"/>
        </w:rPr>
        <w:t>：对数据表打标、对监管对象打标。对符合特定条件的数据表进行打标，便于后期通过标签找到所需的表。对监管对象</w:t>
      </w:r>
      <w:proofErr w:type="gramStart"/>
      <w:r>
        <w:rPr>
          <w:rFonts w:hint="eastAsia"/>
        </w:rPr>
        <w:t>打标来</w:t>
      </w:r>
      <w:proofErr w:type="gramEnd"/>
      <w:r>
        <w:rPr>
          <w:rFonts w:hint="eastAsia"/>
        </w:rPr>
        <w:t>实现重点监管。</w:t>
      </w:r>
    </w:p>
    <w:p w:rsidR="00C34A8A" w:rsidRDefault="00FD5D49">
      <w:pPr>
        <w:pStyle w:val="affe"/>
        <w:spacing w:before="156" w:after="156"/>
      </w:pPr>
      <w:r>
        <w:rPr>
          <w:rFonts w:hint="eastAsia"/>
        </w:rPr>
        <w:t>数据填报管理</w:t>
      </w:r>
    </w:p>
    <w:p w:rsidR="00C34A8A" w:rsidRDefault="00FD5D49">
      <w:pPr>
        <w:pStyle w:val="afffff5"/>
        <w:ind w:firstLine="420"/>
      </w:pPr>
      <w:r>
        <w:rPr>
          <w:rFonts w:hint="eastAsia"/>
        </w:rPr>
        <w:t>具备数据填报管理的能力，提供数据填报模板或数据填报表单，实现单条或批量数据填报上传，并提供填报数据校验功能，设置校验规则对填报数据校验是否符合要求后再入库。</w:t>
      </w:r>
    </w:p>
    <w:p w:rsidR="00C34A8A" w:rsidRDefault="00FD5D49">
      <w:pPr>
        <w:pStyle w:val="affe"/>
        <w:spacing w:before="156" w:after="156"/>
      </w:pPr>
      <w:r>
        <w:rPr>
          <w:rFonts w:hint="eastAsia"/>
        </w:rPr>
        <w:t>数据共享交换能力</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具备数据共享交换的能力，</w:t>
      </w:r>
      <w:r>
        <w:rPr>
          <w:rFonts w:hint="eastAsia"/>
        </w:rPr>
        <w:t>通过数据共享交换系统对内对外提供数据共享服务，信息资源包括数据库表、文件和接口等，针对不同的信息资源，其交换方式可分为前置机交换、文件交换、服务接口交换三种方式。</w:t>
      </w:r>
    </w:p>
    <w:p w:rsidR="00C34A8A" w:rsidRDefault="00FD5D49">
      <w:pPr>
        <w:pStyle w:val="afff"/>
        <w:spacing w:before="156" w:after="156"/>
      </w:pPr>
      <w:r>
        <w:rPr>
          <w:rFonts w:hint="eastAsia"/>
        </w:rPr>
        <w:t>数据库表交换</w:t>
      </w:r>
    </w:p>
    <w:p w:rsidR="00C34A8A" w:rsidRDefault="00FD5D49">
      <w:pPr>
        <w:pStyle w:val="afffff5"/>
        <w:ind w:firstLine="420"/>
      </w:pPr>
      <w:r>
        <w:rPr>
          <w:rFonts w:hint="eastAsia"/>
        </w:rPr>
        <w:t>具备数据库表交换的能力，提供前置机交换功能来</w:t>
      </w:r>
      <w:proofErr w:type="gramStart"/>
      <w:r>
        <w:rPr>
          <w:rFonts w:hint="eastAsia"/>
        </w:rPr>
        <w:t>完成库表的</w:t>
      </w:r>
      <w:proofErr w:type="gramEnd"/>
      <w:r>
        <w:rPr>
          <w:rFonts w:hint="eastAsia"/>
        </w:rPr>
        <w:t>交换，适合大量数据且需要落地的信息资源的共享。</w:t>
      </w:r>
    </w:p>
    <w:p w:rsidR="00C34A8A" w:rsidRDefault="00FD5D49">
      <w:pPr>
        <w:pStyle w:val="afff"/>
        <w:spacing w:before="156" w:after="156"/>
      </w:pPr>
      <w:r>
        <w:rPr>
          <w:rFonts w:hint="eastAsia"/>
        </w:rPr>
        <w:t>文件交换</w:t>
      </w:r>
    </w:p>
    <w:p w:rsidR="00C34A8A" w:rsidRDefault="00FD5D49">
      <w:pPr>
        <w:pStyle w:val="afffff5"/>
        <w:ind w:firstLine="420"/>
      </w:pPr>
      <w:r>
        <w:rPr>
          <w:rFonts w:hint="eastAsia"/>
        </w:rPr>
        <w:t>具备文件交换的能力，提供文件交换功能来完成文件数据的交换，适合无法通过数据库表或服务接口完成交换的信息资源的共享。</w:t>
      </w:r>
    </w:p>
    <w:p w:rsidR="00C34A8A" w:rsidRDefault="00FD5D49">
      <w:pPr>
        <w:pStyle w:val="afff"/>
        <w:spacing w:before="156" w:after="156"/>
      </w:pPr>
      <w:r>
        <w:rPr>
          <w:rFonts w:hint="eastAsia"/>
        </w:rPr>
        <w:t>接口交换</w:t>
      </w:r>
    </w:p>
    <w:p w:rsidR="00C34A8A" w:rsidRDefault="00FD5D49">
      <w:pPr>
        <w:pStyle w:val="afffff5"/>
        <w:ind w:firstLine="420"/>
      </w:pPr>
      <w:r>
        <w:rPr>
          <w:rFonts w:hint="eastAsia"/>
        </w:rPr>
        <w:t>具备接口交换数据的能力，提供接口开发服务，通过接口交换实现实时性要求较高、有交互需求的信息共享。</w:t>
      </w:r>
    </w:p>
    <w:p w:rsidR="00C34A8A" w:rsidRDefault="00FD5D49">
      <w:pPr>
        <w:pStyle w:val="affd"/>
        <w:spacing w:before="156" w:after="156"/>
      </w:pPr>
      <w:r>
        <w:rPr>
          <w:rFonts w:hint="eastAsia"/>
        </w:rPr>
        <w:lastRenderedPageBreak/>
        <w:t>大数据分析应用平台</w:t>
      </w:r>
    </w:p>
    <w:p w:rsidR="00C34A8A" w:rsidRDefault="00FD5D49">
      <w:pPr>
        <w:pStyle w:val="affe"/>
        <w:spacing w:before="156" w:after="156"/>
      </w:pPr>
      <w:r>
        <w:rPr>
          <w:rFonts w:hint="eastAsia"/>
        </w:rPr>
        <w:t>总则</w:t>
      </w:r>
    </w:p>
    <w:p w:rsidR="00C34A8A" w:rsidRDefault="00FD5D49">
      <w:pPr>
        <w:pStyle w:val="afffffffff0"/>
      </w:pPr>
      <w:r>
        <w:rPr>
          <w:rFonts w:hint="eastAsia"/>
        </w:rPr>
        <w:t>大数据分析平台是市场监管大数据中心</w:t>
      </w:r>
      <w:r>
        <w:rPr>
          <w:rFonts w:hint="eastAsia"/>
        </w:rPr>
        <w:t>平台</w:t>
      </w:r>
      <w:r>
        <w:rPr>
          <w:rFonts w:hint="eastAsia"/>
        </w:rPr>
        <w:t>中的数据应用平台，基于数据仓库和数据中台提供的高质量数据，利用大数据处理技术进行深度分析和挖掘。</w:t>
      </w:r>
    </w:p>
    <w:p w:rsidR="00C34A8A" w:rsidRDefault="00FD5D49">
      <w:pPr>
        <w:pStyle w:val="afffffffff0"/>
      </w:pPr>
      <w:r>
        <w:rPr>
          <w:rFonts w:hint="eastAsia"/>
        </w:rPr>
        <w:t>具备运用大数据分析提高政府公共服务的能力，加强对市场主体的事中事后监管，高效采集、有效整合、充分运用政府数据和社会数据，健全运用大数据的工作机制，将运用大数据作为提高市场监管治理能力的重要手段，不断提高服务和监管的针对性、有效性。</w:t>
      </w:r>
    </w:p>
    <w:p w:rsidR="00C34A8A" w:rsidRDefault="00FD5D49">
      <w:pPr>
        <w:pStyle w:val="affe"/>
        <w:spacing w:before="156" w:after="156"/>
      </w:pPr>
      <w:r>
        <w:rPr>
          <w:rFonts w:hint="eastAsia"/>
        </w:rPr>
        <w:t>大数据分析工具</w:t>
      </w:r>
    </w:p>
    <w:p w:rsidR="00C34A8A" w:rsidRDefault="00FD5D49">
      <w:pPr>
        <w:pStyle w:val="afff"/>
        <w:spacing w:before="156" w:after="156"/>
      </w:pPr>
      <w:r>
        <w:rPr>
          <w:rFonts w:hint="eastAsia"/>
        </w:rPr>
        <w:t>总则</w:t>
      </w:r>
    </w:p>
    <w:p w:rsidR="00C34A8A" w:rsidRDefault="00FD5D49">
      <w:pPr>
        <w:pStyle w:val="afffff5"/>
        <w:ind w:firstLine="420"/>
      </w:pPr>
      <w:r>
        <w:rPr>
          <w:rFonts w:hint="eastAsia"/>
        </w:rPr>
        <w:t>具备商业智能工具功能和报表生成能力。该工具应支持多维数据分析、数据可视化展示，以及灵活的报表设计与生成。同时，工具具备大数据处理能力，能够高效处理、存储和分析海量数据。</w:t>
      </w:r>
    </w:p>
    <w:p w:rsidR="00C34A8A" w:rsidRDefault="00FD5D49">
      <w:pPr>
        <w:pStyle w:val="afff"/>
        <w:spacing w:before="156" w:after="156"/>
      </w:pPr>
      <w:r>
        <w:rPr>
          <w:rFonts w:hint="eastAsia"/>
        </w:rPr>
        <w:t>数据管理</w:t>
      </w:r>
    </w:p>
    <w:p w:rsidR="00C34A8A" w:rsidRDefault="00FD5D49">
      <w:pPr>
        <w:pStyle w:val="afffff5"/>
        <w:ind w:firstLine="420"/>
      </w:pPr>
      <w:r>
        <w:rPr>
          <w:rFonts w:hint="eastAsia"/>
        </w:rPr>
        <w:t>具备数据管理的能力，提供数据加工及调度管理的功能。</w:t>
      </w:r>
    </w:p>
    <w:p w:rsidR="00C34A8A" w:rsidRDefault="00FD5D49">
      <w:pPr>
        <w:pStyle w:val="afff"/>
        <w:spacing w:before="156" w:after="156"/>
      </w:pPr>
      <w:r>
        <w:rPr>
          <w:rFonts w:hint="eastAsia"/>
        </w:rPr>
        <w:t>模型管理</w:t>
      </w:r>
    </w:p>
    <w:p w:rsidR="00C34A8A" w:rsidRDefault="00FD5D49">
      <w:pPr>
        <w:pStyle w:val="afffff5"/>
        <w:ind w:firstLine="420"/>
      </w:pPr>
      <w:r>
        <w:rPr>
          <w:rFonts w:hint="eastAsia"/>
        </w:rPr>
        <w:t>提供数据分析模型管理的功能，支持在模型属性列表设置数据模型的各个属性。包括主键、数据期类型、抽样条件、数据提取到的目标物理表等。</w:t>
      </w:r>
    </w:p>
    <w:p w:rsidR="00C34A8A" w:rsidRDefault="00FD5D49">
      <w:pPr>
        <w:pStyle w:val="afff"/>
        <w:spacing w:before="156" w:after="156"/>
      </w:pPr>
      <w:r>
        <w:rPr>
          <w:rFonts w:hint="eastAsia"/>
        </w:rPr>
        <w:t>分析可视化</w:t>
      </w:r>
    </w:p>
    <w:p w:rsidR="00C34A8A" w:rsidRDefault="00FD5D49">
      <w:pPr>
        <w:pStyle w:val="afffff5"/>
        <w:ind w:firstLine="420"/>
      </w:pPr>
      <w:r>
        <w:rPr>
          <w:rFonts w:hint="eastAsia"/>
        </w:rPr>
        <w:t>支持使用系统汇总的数据模型进行多维度的可视化分析，支持对数据的自由统计，可实时查询统计各类信息。</w:t>
      </w:r>
    </w:p>
    <w:p w:rsidR="00C34A8A" w:rsidRDefault="00FD5D49">
      <w:pPr>
        <w:pStyle w:val="afff"/>
        <w:spacing w:before="156" w:after="156"/>
      </w:pPr>
      <w:r>
        <w:rPr>
          <w:rFonts w:hint="eastAsia"/>
        </w:rPr>
        <w:t>报表工具</w:t>
      </w:r>
    </w:p>
    <w:p w:rsidR="00C34A8A" w:rsidRDefault="00FD5D49">
      <w:pPr>
        <w:pStyle w:val="afffff5"/>
        <w:ind w:firstLine="420"/>
      </w:pPr>
      <w:r>
        <w:rPr>
          <w:rFonts w:hint="eastAsia"/>
        </w:rPr>
        <w:t>支持将汇总数据进行统</w:t>
      </w:r>
      <w:r>
        <w:rPr>
          <w:rFonts w:hint="eastAsia"/>
        </w:rPr>
        <w:t>计分析、生成报表，提供灵活的报表设计器。</w:t>
      </w:r>
    </w:p>
    <w:p w:rsidR="00C34A8A" w:rsidRDefault="00FD5D49">
      <w:pPr>
        <w:pStyle w:val="afff"/>
        <w:spacing w:before="156" w:after="156"/>
      </w:pPr>
      <w:r>
        <w:rPr>
          <w:rFonts w:hint="eastAsia"/>
        </w:rPr>
        <w:t>用户账号与权限管理</w:t>
      </w:r>
    </w:p>
    <w:p w:rsidR="00C34A8A" w:rsidRDefault="00FD5D49">
      <w:pPr>
        <w:pStyle w:val="afffff5"/>
        <w:ind w:firstLine="420"/>
      </w:pPr>
      <w:r>
        <w:rPr>
          <w:rFonts w:hint="eastAsia"/>
        </w:rPr>
        <w:t>具备通用应用页面实现用户账号与权限管理的能力。支持用户管理组织机构、用户、角色、用户组等对象，并支持面向对象赋权、面向用户角色机构赋权、成批赋权等。</w:t>
      </w:r>
    </w:p>
    <w:p w:rsidR="00C34A8A" w:rsidRDefault="00FD5D49">
      <w:pPr>
        <w:pStyle w:val="affe"/>
        <w:spacing w:before="156" w:after="156"/>
      </w:pPr>
      <w:r>
        <w:rPr>
          <w:rFonts w:hint="eastAsia"/>
        </w:rPr>
        <w:t>数据查询</w:t>
      </w:r>
    </w:p>
    <w:p w:rsidR="00C34A8A" w:rsidRDefault="00FD5D49">
      <w:pPr>
        <w:pStyle w:val="afffff5"/>
        <w:ind w:firstLine="420"/>
      </w:pPr>
      <w:r>
        <w:rPr>
          <w:rFonts w:hint="eastAsia"/>
        </w:rPr>
        <w:t>具备通过应用页面实现数据查询的能力。支持根据实际需要将各类数据以应用页面形式进行呈现查询，解决信息孤岛的问题。</w:t>
      </w:r>
    </w:p>
    <w:p w:rsidR="00C34A8A" w:rsidRDefault="00FD5D49">
      <w:pPr>
        <w:pStyle w:val="affe"/>
        <w:spacing w:before="156" w:after="156"/>
      </w:pPr>
      <w:r>
        <w:rPr>
          <w:rFonts w:hint="eastAsia"/>
        </w:rPr>
        <w:t>业务分析</w:t>
      </w:r>
    </w:p>
    <w:p w:rsidR="00C34A8A" w:rsidRDefault="00FD5D49">
      <w:pPr>
        <w:pStyle w:val="afffff5"/>
        <w:ind w:firstLine="420"/>
      </w:pPr>
      <w:r>
        <w:rPr>
          <w:rFonts w:hint="eastAsia"/>
        </w:rPr>
        <w:t>具备通过应用页面实现业务统计分析的能力。支持针对不同业务需要生成业务数据分析模型，形成多维度的业务统计分析。对把握当前市场情况、有效地做出决策支持提供强有力的支撑。深入</w:t>
      </w:r>
      <w:r>
        <w:rPr>
          <w:rFonts w:hint="eastAsia"/>
        </w:rPr>
        <w:t>挖掘分析市场主体在存量与增量、产业分布、行业结构、区域发展、新经济产业、主体活跃度、食品监管、药品监管、企业创新活力等方面的分析模型，切实改进政府提供公共服务方式、提升政府提供公共服务质量。</w:t>
      </w:r>
    </w:p>
    <w:p w:rsidR="00C34A8A" w:rsidRDefault="00FD5D49">
      <w:pPr>
        <w:pStyle w:val="affe"/>
        <w:spacing w:before="156" w:after="156"/>
      </w:pPr>
      <w:r>
        <w:rPr>
          <w:rFonts w:hint="eastAsia"/>
        </w:rPr>
        <w:t>风险预警</w:t>
      </w:r>
    </w:p>
    <w:p w:rsidR="00C34A8A" w:rsidRDefault="00FD5D49">
      <w:pPr>
        <w:pStyle w:val="afffff5"/>
        <w:ind w:firstLine="420"/>
      </w:pPr>
      <w:r>
        <w:rPr>
          <w:rFonts w:hint="eastAsia"/>
        </w:rPr>
        <w:lastRenderedPageBreak/>
        <w:t>具备通过应用页面实现业务风险预警的能力。支持通过对业务进行深度挖掘分析，发现监管风险并及时提醒监管部门。通过大数据技术对业务数据进行风险预警</w:t>
      </w:r>
      <w:proofErr w:type="gramStart"/>
      <w:r>
        <w:rPr>
          <w:rFonts w:hint="eastAsia"/>
        </w:rPr>
        <w:t>研</w:t>
      </w:r>
      <w:proofErr w:type="gramEnd"/>
      <w:r>
        <w:rPr>
          <w:rFonts w:hint="eastAsia"/>
        </w:rPr>
        <w:t>判，更全面的</w:t>
      </w:r>
      <w:r>
        <w:rPr>
          <w:rFonts w:hint="eastAsia"/>
        </w:rPr>
        <w:t>、</w:t>
      </w:r>
      <w:r>
        <w:rPr>
          <w:rFonts w:hint="eastAsia"/>
        </w:rPr>
        <w:t>及时的</w:t>
      </w:r>
      <w:proofErr w:type="gramStart"/>
      <w:r>
        <w:rPr>
          <w:rFonts w:hint="eastAsia"/>
        </w:rPr>
        <w:t>获取风控主体</w:t>
      </w:r>
      <w:proofErr w:type="gramEnd"/>
      <w:r>
        <w:rPr>
          <w:rFonts w:hint="eastAsia"/>
        </w:rPr>
        <w:t>的相关风险信息，加强市场风险监控管理，从而破解市场监管中的监管难题，有效提升监管服务效能。</w:t>
      </w:r>
    </w:p>
    <w:p w:rsidR="00C34A8A" w:rsidRDefault="00FD5D49">
      <w:pPr>
        <w:pStyle w:val="affe"/>
        <w:spacing w:before="156" w:after="156"/>
      </w:pPr>
      <w:r>
        <w:rPr>
          <w:rFonts w:hint="eastAsia"/>
        </w:rPr>
        <w:t>决策支持</w:t>
      </w:r>
    </w:p>
    <w:p w:rsidR="00C34A8A" w:rsidRDefault="00FD5D49">
      <w:pPr>
        <w:pStyle w:val="afffff5"/>
        <w:ind w:firstLine="420"/>
      </w:pPr>
      <w:r>
        <w:rPr>
          <w:rFonts w:hint="eastAsia"/>
        </w:rPr>
        <w:t>具备对市场监管业务数据深入挖掘分析</w:t>
      </w:r>
      <w:r>
        <w:rPr>
          <w:rFonts w:hint="eastAsia"/>
        </w:rPr>
        <w:t>，形成可视化决策支持的能力。支持从登记准入、特种设备、食品监管、药品监管、化妆品监管、医疗器械监管、工业产品质量、标准计量检测认证、知识产权、网络监管、消费维权等重点监管业务出发进行挖掘，全面了解全市市场监管业务的发展情况和水平。</w:t>
      </w:r>
    </w:p>
    <w:p w:rsidR="00C34A8A" w:rsidRDefault="00FD5D49">
      <w:pPr>
        <w:pStyle w:val="affe"/>
        <w:spacing w:before="156" w:after="156"/>
      </w:pPr>
      <w:r>
        <w:rPr>
          <w:rFonts w:hint="eastAsia"/>
        </w:rPr>
        <w:t>分析报告</w:t>
      </w:r>
    </w:p>
    <w:p w:rsidR="00C34A8A" w:rsidRDefault="00FD5D49">
      <w:pPr>
        <w:pStyle w:val="afffff5"/>
        <w:ind w:firstLine="420"/>
      </w:pPr>
      <w:r>
        <w:rPr>
          <w:rFonts w:hint="eastAsia"/>
        </w:rPr>
        <w:t>具备通过应用页面生成分析报告的能力。支持根据各类业务需要管理对应的分析报告内容格式，按月、按季度、按年定期自动生成分析报，并支持以</w:t>
      </w:r>
      <w:r>
        <w:rPr>
          <w:rFonts w:hint="eastAsia"/>
        </w:rPr>
        <w:t>word</w:t>
      </w:r>
      <w:r>
        <w:rPr>
          <w:rFonts w:hint="eastAsia"/>
        </w:rPr>
        <w:t>、</w:t>
      </w:r>
      <w:r>
        <w:rPr>
          <w:rFonts w:hint="eastAsia"/>
        </w:rPr>
        <w:t>PDF</w:t>
      </w:r>
      <w:r>
        <w:rPr>
          <w:rFonts w:hint="eastAsia"/>
        </w:rPr>
        <w:t>、</w:t>
      </w:r>
      <w:r>
        <w:rPr>
          <w:rFonts w:hint="eastAsia"/>
        </w:rPr>
        <w:t>WPS</w:t>
      </w:r>
      <w:r>
        <w:rPr>
          <w:rFonts w:hint="eastAsia"/>
        </w:rPr>
        <w:t>、</w:t>
      </w:r>
      <w:r>
        <w:rPr>
          <w:rFonts w:hint="eastAsia"/>
        </w:rPr>
        <w:t>OFD</w:t>
      </w:r>
      <w:r>
        <w:rPr>
          <w:rFonts w:hint="eastAsia"/>
        </w:rPr>
        <w:t>等格式导出分析报告，样式不失真。</w:t>
      </w:r>
    </w:p>
    <w:p w:rsidR="00C34A8A" w:rsidRDefault="00FD5D49">
      <w:pPr>
        <w:pStyle w:val="affc"/>
        <w:spacing w:before="312" w:after="312"/>
      </w:pPr>
      <w:r>
        <w:rPr>
          <w:rFonts w:hint="eastAsia"/>
        </w:rPr>
        <w:t>信息安全</w:t>
      </w:r>
    </w:p>
    <w:p w:rsidR="00C34A8A" w:rsidRDefault="00FD5D49">
      <w:pPr>
        <w:pStyle w:val="affd"/>
        <w:spacing w:before="156" w:after="156"/>
      </w:pPr>
      <w:r>
        <w:rPr>
          <w:rFonts w:hint="eastAsia"/>
        </w:rPr>
        <w:t>总体原则</w:t>
      </w:r>
    </w:p>
    <w:p w:rsidR="00C34A8A" w:rsidRDefault="00FD5D49">
      <w:pPr>
        <w:pStyle w:val="afffff5"/>
        <w:ind w:firstLine="420"/>
      </w:pPr>
      <w:r>
        <w:rPr>
          <w:rFonts w:hint="eastAsia"/>
        </w:rPr>
        <w:t>按照国家信息安全等级保护二级要求进行总体规划、设计、建设和运维。根据</w:t>
      </w:r>
      <w:r>
        <w:rPr>
          <w:rFonts w:hint="eastAsia"/>
        </w:rPr>
        <w:t>GB/T 22239-2019</w:t>
      </w:r>
      <w:r>
        <w:rPr>
          <w:rFonts w:hint="eastAsia"/>
        </w:rPr>
        <w:t>规定，系统从网络结构、数据安全、权限控制、物理安全等多个方面进行全方位的防护。并在此基础上，确保关键数据和信息的加密传输与存储，防止未授权访问和数据泄露。</w:t>
      </w:r>
    </w:p>
    <w:p w:rsidR="00C34A8A" w:rsidRDefault="00FD5D49">
      <w:pPr>
        <w:pStyle w:val="affd"/>
        <w:spacing w:before="156" w:after="156"/>
      </w:pPr>
      <w:r>
        <w:rPr>
          <w:rFonts w:hint="eastAsia"/>
        </w:rPr>
        <w:t>网络安全</w:t>
      </w:r>
    </w:p>
    <w:p w:rsidR="00C34A8A" w:rsidRDefault="00FD5D49">
      <w:pPr>
        <w:pStyle w:val="afffffffff1"/>
      </w:pPr>
      <w:r>
        <w:rPr>
          <w:rFonts w:hint="eastAsia"/>
        </w:rPr>
        <w:t>系统平台应符合网络安全保障体系相关标准规范和市场监管有关安全管理要求，系统应符合国家信息化系统相关标准规范和市场监管领域数据规范要求，保证系统数据的完整性。系统应按照</w:t>
      </w:r>
      <w:r>
        <w:rPr>
          <w:rFonts w:hint="eastAsia"/>
        </w:rPr>
        <w:t>GB/T 22239-2019</w:t>
      </w:r>
      <w:r>
        <w:rPr>
          <w:rFonts w:hint="eastAsia"/>
        </w:rPr>
        <w:t>规定的网络安全标准进行分级管理与保护。</w:t>
      </w:r>
    </w:p>
    <w:p w:rsidR="00C34A8A" w:rsidRDefault="00FD5D49">
      <w:pPr>
        <w:pStyle w:val="afffffffff1"/>
      </w:pPr>
      <w:r>
        <w:rPr>
          <w:rFonts w:hint="eastAsia"/>
        </w:rPr>
        <w:t>要求整体平台</w:t>
      </w:r>
      <w:r>
        <w:rPr>
          <w:rFonts w:hint="eastAsia"/>
        </w:rPr>
        <w:t>网络安全能通过网络安全二级</w:t>
      </w:r>
      <w:proofErr w:type="gramStart"/>
      <w:r>
        <w:rPr>
          <w:rFonts w:hint="eastAsia"/>
        </w:rPr>
        <w:t>以上等保要求</w:t>
      </w:r>
      <w:proofErr w:type="gramEnd"/>
      <w:r>
        <w:rPr>
          <w:rFonts w:hint="eastAsia"/>
        </w:rPr>
        <w:t>，</w:t>
      </w:r>
      <w:proofErr w:type="gramStart"/>
      <w:r>
        <w:rPr>
          <w:rFonts w:hint="eastAsia"/>
        </w:rPr>
        <w:t>具体等保等级视等保备案</w:t>
      </w:r>
      <w:proofErr w:type="gramEnd"/>
      <w:r>
        <w:rPr>
          <w:rFonts w:hint="eastAsia"/>
        </w:rPr>
        <w:t>审核后确定的安全等级来要求。</w:t>
      </w:r>
    </w:p>
    <w:p w:rsidR="00C34A8A" w:rsidRDefault="00FD5D49">
      <w:pPr>
        <w:pStyle w:val="affd"/>
        <w:spacing w:before="156" w:after="156"/>
      </w:pPr>
      <w:r>
        <w:rPr>
          <w:rFonts w:hint="eastAsia"/>
        </w:rPr>
        <w:t>计算环境安全</w:t>
      </w:r>
    </w:p>
    <w:p w:rsidR="00C34A8A" w:rsidRDefault="00FD5D49">
      <w:pPr>
        <w:pStyle w:val="afffff5"/>
        <w:ind w:firstLine="420"/>
      </w:pPr>
      <w:r>
        <w:rPr>
          <w:rFonts w:hint="eastAsia"/>
        </w:rPr>
        <w:t>保证系统计算环境的安全性。确保物理访问受到限制，采取物理安全措施，如锁定机柜、监控摄像头和访问控制系统，以防止未经授权的人员接触和操作硬件。确保虚拟机之间和主机之间的隔离。实施适当的虚拟网络隔离，使用安全的虚拟化管理工具，并定期审查虚拟机的配置和权限。</w:t>
      </w:r>
    </w:p>
    <w:p w:rsidR="00C34A8A" w:rsidRDefault="00FD5D49">
      <w:pPr>
        <w:pStyle w:val="affd"/>
        <w:spacing w:before="156" w:after="156"/>
      </w:pPr>
      <w:r>
        <w:rPr>
          <w:rFonts w:hint="eastAsia"/>
        </w:rPr>
        <w:t>系统安全</w:t>
      </w:r>
    </w:p>
    <w:p w:rsidR="00C34A8A" w:rsidRDefault="00FD5D49">
      <w:pPr>
        <w:pStyle w:val="afffff5"/>
        <w:ind w:firstLine="420"/>
      </w:pPr>
      <w:r>
        <w:rPr>
          <w:rFonts w:hint="eastAsia"/>
        </w:rPr>
        <w:t>系统具备完善的用户识别体系。通过对主客体进行正确的标识和标注，执行自主访问控制和强制访问控制混合的访问控制机制，保证授权访问的可控性。强化访问控制措施，使用身份认证和授权机制确保只有授权的用户可以访问计算资源。多因素身份验证、访问权限管理等是有效的措施。</w:t>
      </w:r>
    </w:p>
    <w:p w:rsidR="00C34A8A" w:rsidRDefault="00FD5D49">
      <w:pPr>
        <w:pStyle w:val="affd"/>
        <w:spacing w:before="156" w:after="156"/>
      </w:pPr>
      <w:r>
        <w:rPr>
          <w:rFonts w:hint="eastAsia"/>
        </w:rPr>
        <w:t>软件代码安全</w:t>
      </w:r>
    </w:p>
    <w:p w:rsidR="00C34A8A" w:rsidRDefault="00FD5D49">
      <w:pPr>
        <w:pStyle w:val="afffff5"/>
        <w:ind w:firstLine="420"/>
      </w:pPr>
      <w:r>
        <w:rPr>
          <w:rFonts w:hint="eastAsia"/>
        </w:rPr>
        <w:t>系统确保软件代码的安全性，将开发环境与生产环境严格分离，确保只有授权人员能够访问到代码和敏感信息。定期通过代码审查、静态代码分析、动态安全性测试、渗透测试等手段来验证代码的安全性。</w:t>
      </w:r>
    </w:p>
    <w:p w:rsidR="00C34A8A" w:rsidRDefault="00FD5D49">
      <w:pPr>
        <w:pStyle w:val="affd"/>
        <w:spacing w:before="156" w:after="156"/>
      </w:pPr>
      <w:r>
        <w:rPr>
          <w:rFonts w:hint="eastAsia"/>
        </w:rPr>
        <w:lastRenderedPageBreak/>
        <w:t>数据安全</w:t>
      </w:r>
    </w:p>
    <w:p w:rsidR="00C34A8A" w:rsidRDefault="00FD5D49">
      <w:pPr>
        <w:pStyle w:val="afffff5"/>
        <w:ind w:firstLine="420"/>
      </w:pPr>
      <w:r>
        <w:rPr>
          <w:rFonts w:hint="eastAsia"/>
        </w:rPr>
        <w:t>数据中心建设过程中存储的相关数据要保证数据的安全和</w:t>
      </w:r>
      <w:r>
        <w:rPr>
          <w:rFonts w:hint="eastAsia"/>
        </w:rPr>
        <w:t>隐私，因此系统的建设需考虑到：通过数据分类分级管理，根据数据的敏感程度和数据遭到篡改、破坏、泄露或非法获取、非法利用后对受害者造成的影响程度，将数据按不同级别划分，以实现数据的差异化保护，采取相应的安全保护措施。数据库应设置预定的备份策略、按照用户级别授权用户对数据访问、关键数据的修改记录应记录详细的操作日志以备追查、数据的传输与关键敏感的数据的存放需进行一定的加密处理等。</w:t>
      </w:r>
    </w:p>
    <w:p w:rsidR="00C34A8A" w:rsidRDefault="00FD5D49">
      <w:pPr>
        <w:pStyle w:val="affd"/>
        <w:spacing w:before="156" w:after="156"/>
      </w:pPr>
      <w:r>
        <w:rPr>
          <w:rFonts w:hint="eastAsia"/>
        </w:rPr>
        <w:t>应用安全</w:t>
      </w:r>
    </w:p>
    <w:p w:rsidR="00C34A8A" w:rsidRDefault="00FD5D49">
      <w:pPr>
        <w:pStyle w:val="afffffffff1"/>
      </w:pPr>
      <w:r>
        <w:rPr>
          <w:rFonts w:hint="eastAsia"/>
        </w:rPr>
        <w:t>应用级安全包括统一身份认证、统一权限管理等，应用软件应具有访问控制功能，包括用户登录访问控制、角色权限控制、目录级安全控制、</w:t>
      </w:r>
      <w:r>
        <w:rPr>
          <w:rFonts w:hint="eastAsia"/>
        </w:rPr>
        <w:t>文件属性安全控制等。</w:t>
      </w:r>
    </w:p>
    <w:p w:rsidR="00C34A8A" w:rsidRDefault="00FD5D49">
      <w:pPr>
        <w:pStyle w:val="afffffffff1"/>
      </w:pPr>
      <w:r>
        <w:rPr>
          <w:rFonts w:hint="eastAsia"/>
        </w:rPr>
        <w:t>用户在使用开发的系统时应采用实名制方式注册；用户密码等关键信息应采用加密方式保存。</w:t>
      </w:r>
    </w:p>
    <w:p w:rsidR="00C34A8A" w:rsidRDefault="00FD5D49">
      <w:pPr>
        <w:pStyle w:val="affd"/>
        <w:spacing w:before="156" w:after="156"/>
      </w:pPr>
      <w:r>
        <w:rPr>
          <w:rFonts w:hint="eastAsia"/>
        </w:rPr>
        <w:t>安全管理</w:t>
      </w:r>
    </w:p>
    <w:p w:rsidR="00C34A8A" w:rsidRDefault="00FD5D49">
      <w:pPr>
        <w:pStyle w:val="afffff5"/>
        <w:ind w:firstLine="420"/>
      </w:pPr>
      <w:r>
        <w:rPr>
          <w:rFonts w:hint="eastAsia"/>
        </w:rPr>
        <w:t>建立健全相关信息安全管理责任制度；禁止在系统中使用未经批准的应用程序，禁止在系统上加载无关软件，严禁擅自修改系统的有关参数；用于开发、测试的系统需与正式系统严格分开；监视系统运行记录，及时审查日志文件，认真分析告警信息，及时掌握运行状况，对系统可能发生的故障做好应急方案。</w:t>
      </w:r>
    </w:p>
    <w:p w:rsidR="00C34A8A" w:rsidRDefault="00FD5D49">
      <w:pPr>
        <w:pStyle w:val="affc"/>
        <w:spacing w:before="312" w:after="312"/>
      </w:pPr>
      <w:r>
        <w:rPr>
          <w:rFonts w:hint="eastAsia"/>
        </w:rPr>
        <w:t>运维管理</w:t>
      </w:r>
    </w:p>
    <w:p w:rsidR="00C34A8A" w:rsidRDefault="00FD5D49">
      <w:pPr>
        <w:pStyle w:val="affd"/>
        <w:spacing w:before="156" w:after="156"/>
      </w:pPr>
      <w:r>
        <w:rPr>
          <w:rFonts w:hint="eastAsia"/>
        </w:rPr>
        <w:t>总体要求</w:t>
      </w:r>
    </w:p>
    <w:p w:rsidR="00C34A8A" w:rsidRDefault="00FD5D49">
      <w:pPr>
        <w:pStyle w:val="af5"/>
        <w:numPr>
          <w:ilvl w:val="0"/>
          <w:numId w:val="0"/>
        </w:numPr>
        <w:ind w:firstLineChars="200" w:firstLine="420"/>
      </w:pPr>
      <w:r>
        <w:rPr>
          <w:rFonts w:hint="eastAsia"/>
        </w:rPr>
        <w:t>应遵照</w:t>
      </w:r>
      <w:r>
        <w:rPr>
          <w:rFonts w:hint="eastAsia"/>
        </w:rPr>
        <w:t>GB/T 28827.3-2012</w:t>
      </w:r>
      <w:r>
        <w:rPr>
          <w:rFonts w:hint="eastAsia"/>
        </w:rPr>
        <w:t>和</w:t>
      </w:r>
      <w:r>
        <w:rPr>
          <w:rFonts w:hint="eastAsia"/>
        </w:rPr>
        <w:t xml:space="preserve">GB/T 28827.6-2019 </w:t>
      </w:r>
      <w:r>
        <w:rPr>
          <w:rFonts w:hint="eastAsia"/>
        </w:rPr>
        <w:t>给出的要求和规则，开展系</w:t>
      </w:r>
      <w:r>
        <w:rPr>
          <w:rFonts w:hint="eastAsia"/>
        </w:rPr>
        <w:t>统运维工作，包括但不限于以下内容：</w:t>
      </w:r>
    </w:p>
    <w:p w:rsidR="00C34A8A" w:rsidRDefault="00FD5D49">
      <w:pPr>
        <w:pStyle w:val="af5"/>
        <w:numPr>
          <w:ilvl w:val="0"/>
          <w:numId w:val="0"/>
        </w:numPr>
        <w:ind w:left="425"/>
      </w:pPr>
      <w:r>
        <w:rPr>
          <w:rFonts w:hint="eastAsia"/>
        </w:rPr>
        <w:t>a)</w:t>
      </w:r>
      <w:r>
        <w:rPr>
          <w:rFonts w:hint="eastAsia"/>
        </w:rPr>
        <w:t>日常维护管理，确保数据中心平台的承载网络的性能、技术指标，满足数据中心服务的稳定、可靠运行，月故障次数应不大于</w:t>
      </w:r>
      <w:r>
        <w:rPr>
          <w:rFonts w:hint="eastAsia"/>
        </w:rPr>
        <w:t>1</w:t>
      </w:r>
      <w:r>
        <w:rPr>
          <w:rFonts w:hint="eastAsia"/>
        </w:rPr>
        <w:t>次，每次修复时长不大于</w:t>
      </w:r>
      <w:r>
        <w:rPr>
          <w:rFonts w:hint="eastAsia"/>
        </w:rPr>
        <w:t>24</w:t>
      </w:r>
      <w:r>
        <w:rPr>
          <w:rFonts w:hint="eastAsia"/>
        </w:rPr>
        <w:t>小时；</w:t>
      </w:r>
    </w:p>
    <w:p w:rsidR="00C34A8A" w:rsidRDefault="00FD5D49">
      <w:pPr>
        <w:pStyle w:val="af5"/>
        <w:numPr>
          <w:ilvl w:val="0"/>
          <w:numId w:val="0"/>
        </w:numPr>
        <w:ind w:left="425"/>
      </w:pPr>
      <w:r>
        <w:rPr>
          <w:rFonts w:hint="eastAsia"/>
        </w:rPr>
        <w:t>b)</w:t>
      </w:r>
      <w:r>
        <w:rPr>
          <w:rFonts w:hint="eastAsia"/>
        </w:rPr>
        <w:t>建立快速响应机制，一般技术支撑服务应确保</w:t>
      </w:r>
      <w:r>
        <w:rPr>
          <w:rFonts w:hint="eastAsia"/>
        </w:rPr>
        <w:t>7*24</w:t>
      </w:r>
      <w:r>
        <w:rPr>
          <w:rFonts w:hint="eastAsia"/>
        </w:rPr>
        <w:t>小时服务；现场保障服务应两小时内到达现场；</w:t>
      </w:r>
    </w:p>
    <w:p w:rsidR="00C34A8A" w:rsidRDefault="00FD5D49">
      <w:pPr>
        <w:pStyle w:val="af5"/>
        <w:numPr>
          <w:ilvl w:val="0"/>
          <w:numId w:val="0"/>
        </w:numPr>
        <w:ind w:left="425"/>
      </w:pPr>
      <w:r>
        <w:rPr>
          <w:rFonts w:hint="eastAsia"/>
        </w:rPr>
        <w:t>c)</w:t>
      </w:r>
      <w:r>
        <w:rPr>
          <w:rFonts w:hint="eastAsia"/>
        </w:rPr>
        <w:t>整合、优化配置各类资源，确保系统</w:t>
      </w:r>
      <w:r>
        <w:rPr>
          <w:rFonts w:hint="eastAsia"/>
        </w:rPr>
        <w:t>7*24</w:t>
      </w:r>
      <w:r>
        <w:rPr>
          <w:rFonts w:hint="eastAsia"/>
        </w:rPr>
        <w:t>小时安全运行，特殊情形下应有能力在</w:t>
      </w:r>
      <w:r>
        <w:rPr>
          <w:rFonts w:hint="eastAsia"/>
        </w:rPr>
        <w:t>24</w:t>
      </w:r>
      <w:r>
        <w:rPr>
          <w:rFonts w:hint="eastAsia"/>
        </w:rPr>
        <w:t>小时内恢复运行能力；</w:t>
      </w:r>
    </w:p>
    <w:p w:rsidR="00C34A8A" w:rsidRDefault="00FD5D49">
      <w:pPr>
        <w:pStyle w:val="af5"/>
        <w:numPr>
          <w:ilvl w:val="0"/>
          <w:numId w:val="0"/>
        </w:numPr>
        <w:ind w:left="425"/>
      </w:pPr>
      <w:r>
        <w:rPr>
          <w:rFonts w:hint="eastAsia"/>
        </w:rPr>
        <w:t>d)</w:t>
      </w:r>
      <w:r>
        <w:rPr>
          <w:rFonts w:hint="eastAsia"/>
        </w:rPr>
        <w:t>保留维护操作痕迹、记录完整日志，相关内容和保存期限满足事件分析、安全取证、监督检查需要。</w:t>
      </w:r>
    </w:p>
    <w:p w:rsidR="00C34A8A" w:rsidRDefault="00FD5D49">
      <w:pPr>
        <w:pStyle w:val="affd"/>
        <w:spacing w:before="156" w:after="156"/>
      </w:pPr>
      <w:r>
        <w:rPr>
          <w:rFonts w:hint="eastAsia"/>
        </w:rPr>
        <w:t>统一应用管理</w:t>
      </w:r>
    </w:p>
    <w:p w:rsidR="00C34A8A" w:rsidRDefault="00FD5D49">
      <w:pPr>
        <w:pStyle w:val="afffff5"/>
        <w:ind w:firstLine="420"/>
      </w:pPr>
      <w:r>
        <w:rPr>
          <w:rFonts w:hint="eastAsia"/>
        </w:rPr>
        <w:t>数据中心通过统一门户将各业务系统资源和应用对接管理起来。</w:t>
      </w:r>
    </w:p>
    <w:p w:rsidR="00C34A8A" w:rsidRDefault="00FD5D49">
      <w:pPr>
        <w:pStyle w:val="affd"/>
        <w:spacing w:before="156" w:after="156"/>
      </w:pPr>
      <w:r>
        <w:rPr>
          <w:rFonts w:hint="eastAsia"/>
        </w:rPr>
        <w:t>运行维护技术人员工作范围</w:t>
      </w:r>
    </w:p>
    <w:p w:rsidR="00C34A8A" w:rsidRDefault="00FD5D49">
      <w:pPr>
        <w:pStyle w:val="afffff5"/>
        <w:ind w:firstLine="420"/>
      </w:pPr>
      <w:r>
        <w:rPr>
          <w:rFonts w:hint="eastAsia"/>
        </w:rPr>
        <w:t>运行维护技术人员主要负责平台日常运行维护、应用数据维护、应用系统维护</w:t>
      </w:r>
      <w:bookmarkStart w:id="44" w:name="_GoBack"/>
      <w:bookmarkEnd w:id="44"/>
      <w:r>
        <w:rPr>
          <w:rFonts w:hint="eastAsia"/>
        </w:rPr>
        <w:t>及云管理和运行保障维护。</w:t>
      </w:r>
    </w:p>
    <w:p w:rsidR="00C34A8A" w:rsidRDefault="00FD5D49">
      <w:pPr>
        <w:pStyle w:val="af5"/>
        <w:numPr>
          <w:ilvl w:val="0"/>
          <w:numId w:val="34"/>
        </w:numPr>
      </w:pPr>
      <w:r>
        <w:rPr>
          <w:rFonts w:hint="eastAsia"/>
        </w:rPr>
        <w:t>平台日常运行维护包括系统平台日常报表处理、应急事件的处理、平台安全监控等；</w:t>
      </w:r>
    </w:p>
    <w:p w:rsidR="00C34A8A" w:rsidRDefault="00FD5D49">
      <w:pPr>
        <w:pStyle w:val="af5"/>
      </w:pPr>
      <w:r>
        <w:rPr>
          <w:rFonts w:hint="eastAsia"/>
        </w:rPr>
        <w:t>应用数据的运行维护包括数据分析、数据备份等；</w:t>
      </w:r>
    </w:p>
    <w:p w:rsidR="00C34A8A" w:rsidRDefault="00FD5D49">
      <w:pPr>
        <w:pStyle w:val="af5"/>
      </w:pPr>
      <w:r>
        <w:rPr>
          <w:rFonts w:hint="eastAsia"/>
        </w:rPr>
        <w:t>应用系统的运行维护包括应用系统的日常操作、应答、安全防护等；</w:t>
      </w:r>
    </w:p>
    <w:p w:rsidR="00C34A8A" w:rsidRDefault="00FD5D49">
      <w:pPr>
        <w:pStyle w:val="af5"/>
      </w:pPr>
      <w:proofErr w:type="gramStart"/>
      <w:r>
        <w:rPr>
          <w:rFonts w:hint="eastAsia"/>
        </w:rPr>
        <w:t>云管理</w:t>
      </w:r>
      <w:proofErr w:type="gramEnd"/>
      <w:r>
        <w:rPr>
          <w:rFonts w:hint="eastAsia"/>
        </w:rPr>
        <w:t>和运行保障维护包括</w:t>
      </w:r>
      <w:proofErr w:type="gramStart"/>
      <w:r>
        <w:rPr>
          <w:rFonts w:hint="eastAsia"/>
        </w:rPr>
        <w:t>云资源</w:t>
      </w:r>
      <w:proofErr w:type="gramEnd"/>
      <w:r>
        <w:rPr>
          <w:rFonts w:hint="eastAsia"/>
        </w:rPr>
        <w:t>调度、</w:t>
      </w:r>
      <w:proofErr w:type="gramStart"/>
      <w:r>
        <w:rPr>
          <w:rFonts w:hint="eastAsia"/>
        </w:rPr>
        <w:t>云系统</w:t>
      </w:r>
      <w:proofErr w:type="gramEnd"/>
      <w:r>
        <w:rPr>
          <w:rFonts w:hint="eastAsia"/>
        </w:rPr>
        <w:t>稳定性分析等。</w:t>
      </w:r>
    </w:p>
    <w:p w:rsidR="00C34A8A" w:rsidRDefault="00FD5D49">
      <w:pPr>
        <w:pStyle w:val="affd"/>
        <w:spacing w:before="156" w:after="156"/>
      </w:pPr>
      <w:r>
        <w:rPr>
          <w:rFonts w:hint="eastAsia"/>
        </w:rPr>
        <w:lastRenderedPageBreak/>
        <w:t>应急响应</w:t>
      </w:r>
    </w:p>
    <w:p w:rsidR="00C34A8A" w:rsidRDefault="00FD5D49">
      <w:pPr>
        <w:pStyle w:val="affe"/>
        <w:spacing w:before="156" w:after="156"/>
      </w:pPr>
      <w:r>
        <w:rPr>
          <w:rFonts w:hint="eastAsia"/>
        </w:rPr>
        <w:t>故障等级分类</w:t>
      </w:r>
    </w:p>
    <w:p w:rsidR="00C34A8A" w:rsidRDefault="00FD5D49">
      <w:pPr>
        <w:pStyle w:val="afffff5"/>
        <w:ind w:firstLine="420"/>
      </w:pPr>
      <w:r>
        <w:rPr>
          <w:rFonts w:hint="eastAsia"/>
        </w:rPr>
        <w:t>故障</w:t>
      </w:r>
      <w:r>
        <w:t>等级分类如下：</w:t>
      </w:r>
    </w:p>
    <w:p w:rsidR="00C34A8A" w:rsidRDefault="00FD5D49">
      <w:pPr>
        <w:pStyle w:val="af5"/>
        <w:numPr>
          <w:ilvl w:val="0"/>
          <w:numId w:val="35"/>
        </w:numPr>
      </w:pPr>
      <w:r>
        <w:rPr>
          <w:rFonts w:hint="eastAsia"/>
        </w:rPr>
        <w:t>特别重大故障：设备及系统发生处理能力、维护能力</w:t>
      </w:r>
      <w:r>
        <w:rPr>
          <w:rFonts w:hint="eastAsia"/>
        </w:rPr>
        <w:t>、紧急情况处理能力等的丧失情况，导致网络系统</w:t>
      </w:r>
      <w:proofErr w:type="gramStart"/>
      <w:r>
        <w:rPr>
          <w:rFonts w:hint="eastAsia"/>
        </w:rPr>
        <w:t>不</w:t>
      </w:r>
      <w:proofErr w:type="gramEnd"/>
      <w:r>
        <w:rPr>
          <w:rFonts w:hint="eastAsia"/>
        </w:rPr>
        <w:t>可操作甚至瘫痪，或对业务使用有严重影响，需要立即采取措施进行处理的故障；</w:t>
      </w:r>
    </w:p>
    <w:p w:rsidR="00C34A8A" w:rsidRDefault="00FD5D49">
      <w:pPr>
        <w:pStyle w:val="af5"/>
      </w:pPr>
      <w:r>
        <w:rPr>
          <w:rFonts w:hint="eastAsia"/>
        </w:rPr>
        <w:t>重大故障：设备及系统发生处理能力、维护能力、紧急情况处理能力等的降低或恶化，造成部分网络系统设备故障，严重影响和限制了系统维护与管理工作的开展，或对部分业务的使用有较大影响；</w:t>
      </w:r>
    </w:p>
    <w:p w:rsidR="00C34A8A" w:rsidRDefault="00FD5D49">
      <w:pPr>
        <w:pStyle w:val="af5"/>
      </w:pPr>
      <w:r>
        <w:rPr>
          <w:rFonts w:hint="eastAsia"/>
        </w:rPr>
        <w:t>一般故障：故障对系统业务无明显影响，仅造成系统报错、非关键应用无法启动、使用不便、操作不畅等。大部分业务运作仍可正常工作。</w:t>
      </w:r>
    </w:p>
    <w:p w:rsidR="00C34A8A" w:rsidRDefault="00FD5D49">
      <w:pPr>
        <w:pStyle w:val="affe"/>
        <w:spacing w:before="156" w:after="156"/>
      </w:pPr>
      <w:r>
        <w:rPr>
          <w:rFonts w:hint="eastAsia"/>
        </w:rPr>
        <w:t>故障响应时间</w:t>
      </w:r>
    </w:p>
    <w:p w:rsidR="00C34A8A" w:rsidRDefault="00FD5D49">
      <w:pPr>
        <w:pStyle w:val="afffff5"/>
        <w:ind w:firstLine="420"/>
      </w:pPr>
      <w:r>
        <w:rPr>
          <w:rFonts w:hint="eastAsia"/>
        </w:rPr>
        <w:t>故障响应</w:t>
      </w:r>
      <w:r>
        <w:t>时间见表</w:t>
      </w:r>
      <w:r>
        <w:rPr>
          <w:rFonts w:hint="eastAsia"/>
        </w:rPr>
        <w:t>3</w:t>
      </w:r>
      <w:r>
        <w:rPr>
          <w:rFonts w:hint="eastAsia"/>
        </w:rPr>
        <w:t>。</w:t>
      </w:r>
    </w:p>
    <w:p w:rsidR="00C34A8A" w:rsidRDefault="00FD5D49">
      <w:pPr>
        <w:pStyle w:val="aff2"/>
        <w:spacing w:before="156" w:after="156"/>
      </w:pPr>
      <w:r>
        <w:rPr>
          <w:rFonts w:hint="eastAsia"/>
        </w:rPr>
        <w:t>故障响应时间</w:t>
      </w:r>
    </w:p>
    <w:tbl>
      <w:tblPr>
        <w:tblStyle w:val="affff7"/>
        <w:tblW w:w="503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829"/>
        <w:gridCol w:w="5136"/>
        <w:gridCol w:w="2432"/>
      </w:tblGrid>
      <w:tr w:rsidR="00C34A8A">
        <w:trPr>
          <w:trHeight w:val="346"/>
          <w:tblHeader/>
          <w:jc w:val="center"/>
        </w:trPr>
        <w:tc>
          <w:tcPr>
            <w:tcW w:w="97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故障级别</w:t>
            </w:r>
          </w:p>
        </w:tc>
        <w:tc>
          <w:tcPr>
            <w:tcW w:w="273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故障类型</w:t>
            </w:r>
          </w:p>
        </w:tc>
        <w:tc>
          <w:tcPr>
            <w:tcW w:w="1294"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响应时间</w:t>
            </w:r>
          </w:p>
        </w:tc>
      </w:tr>
      <w:tr w:rsidR="00C34A8A">
        <w:trPr>
          <w:trHeight w:val="346"/>
          <w:jc w:val="center"/>
        </w:trPr>
        <w:tc>
          <w:tcPr>
            <w:tcW w:w="97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特别重大故障</w:t>
            </w:r>
          </w:p>
        </w:tc>
        <w:tc>
          <w:tcPr>
            <w:tcW w:w="273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系统严重故障导致系统无法正常运行</w:t>
            </w:r>
          </w:p>
        </w:tc>
        <w:tc>
          <w:tcPr>
            <w:tcW w:w="1294"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立刻专人应答处理</w:t>
            </w:r>
          </w:p>
        </w:tc>
      </w:tr>
      <w:tr w:rsidR="00C34A8A">
        <w:trPr>
          <w:trHeight w:val="329"/>
          <w:jc w:val="center"/>
        </w:trPr>
        <w:tc>
          <w:tcPr>
            <w:tcW w:w="9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重大故障</w:t>
            </w:r>
          </w:p>
        </w:tc>
        <w:tc>
          <w:tcPr>
            <w:tcW w:w="273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系统一般故障导致系统部分功能不正常</w:t>
            </w:r>
          </w:p>
        </w:tc>
        <w:tc>
          <w:tcPr>
            <w:tcW w:w="129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0.5</w:t>
            </w:r>
            <w:r>
              <w:rPr>
                <w:rFonts w:ascii="宋体" w:hAnsi="宋体" w:hint="eastAsia"/>
                <w:sz w:val="18"/>
                <w:szCs w:val="18"/>
              </w:rPr>
              <w:t>小时内答复</w:t>
            </w:r>
          </w:p>
        </w:tc>
      </w:tr>
      <w:tr w:rsidR="00C34A8A">
        <w:trPr>
          <w:trHeight w:val="346"/>
          <w:jc w:val="center"/>
        </w:trPr>
        <w:tc>
          <w:tcPr>
            <w:tcW w:w="9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一般故障</w:t>
            </w:r>
          </w:p>
        </w:tc>
        <w:tc>
          <w:tcPr>
            <w:tcW w:w="273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系统个别服务不正常</w:t>
            </w:r>
          </w:p>
        </w:tc>
        <w:tc>
          <w:tcPr>
            <w:tcW w:w="129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w:t>
            </w:r>
            <w:r>
              <w:rPr>
                <w:rFonts w:ascii="宋体" w:hAnsi="宋体" w:hint="eastAsia"/>
                <w:sz w:val="18"/>
                <w:szCs w:val="18"/>
              </w:rPr>
              <w:t>小时内答复</w:t>
            </w:r>
          </w:p>
        </w:tc>
      </w:tr>
    </w:tbl>
    <w:p w:rsidR="00C34A8A" w:rsidRDefault="00FD5D49">
      <w:pPr>
        <w:pStyle w:val="affc"/>
        <w:spacing w:before="312" w:after="312"/>
      </w:pPr>
      <w:r>
        <w:rPr>
          <w:rFonts w:hint="eastAsia"/>
        </w:rPr>
        <w:t>评价与改进</w:t>
      </w:r>
    </w:p>
    <w:p w:rsidR="00C34A8A" w:rsidRDefault="00FD5D49">
      <w:pPr>
        <w:pStyle w:val="affd"/>
        <w:spacing w:before="156" w:after="156"/>
      </w:pPr>
      <w:r>
        <w:rPr>
          <w:rFonts w:hint="eastAsia"/>
        </w:rPr>
        <w:t>评价</w:t>
      </w:r>
    </w:p>
    <w:p w:rsidR="00C34A8A" w:rsidRDefault="00FD5D49">
      <w:pPr>
        <w:pStyle w:val="afffffffff1"/>
      </w:pPr>
      <w:r>
        <w:rPr>
          <w:rFonts w:hint="eastAsia"/>
        </w:rPr>
        <w:t>市场监管大数据中心</w:t>
      </w:r>
      <w:r>
        <w:rPr>
          <w:rFonts w:hint="eastAsia"/>
        </w:rPr>
        <w:t>平台</w:t>
      </w:r>
      <w:r>
        <w:rPr>
          <w:rFonts w:hint="eastAsia"/>
        </w:rPr>
        <w:t>建成后，建设单位应向上级市场监督管理部门征求指导意见，并向信息化项目管理部门提出验收评价申请。</w:t>
      </w:r>
    </w:p>
    <w:p w:rsidR="00C34A8A" w:rsidRDefault="00FD5D49">
      <w:pPr>
        <w:pStyle w:val="afffffffff1"/>
      </w:pPr>
      <w:r>
        <w:rPr>
          <w:rFonts w:hint="eastAsia"/>
        </w:rPr>
        <w:t>验收通过后，方可投入试运行。</w:t>
      </w:r>
    </w:p>
    <w:p w:rsidR="00C34A8A" w:rsidRDefault="00FD5D49">
      <w:pPr>
        <w:pStyle w:val="afffffffff1"/>
      </w:pPr>
      <w:r>
        <w:rPr>
          <w:rFonts w:hint="eastAsia"/>
        </w:rPr>
        <w:t>试运行三个月后，向信息化项目管理部门提出投入正式运行申请，经批准后向上级市场监督管理部门报备，可并网运行。</w:t>
      </w:r>
    </w:p>
    <w:p w:rsidR="00C34A8A" w:rsidRDefault="00FD5D49">
      <w:pPr>
        <w:pStyle w:val="affd"/>
        <w:spacing w:before="156" w:after="156"/>
      </w:pPr>
      <w:r>
        <w:rPr>
          <w:rFonts w:hint="eastAsia"/>
        </w:rPr>
        <w:t>改进</w:t>
      </w:r>
    </w:p>
    <w:p w:rsidR="00C34A8A" w:rsidRDefault="00FD5D49">
      <w:pPr>
        <w:pStyle w:val="afffffffff1"/>
      </w:pPr>
      <w:r>
        <w:rPr>
          <w:rFonts w:hint="eastAsia"/>
        </w:rPr>
        <w:t>数据中心在试运行期间，应依照验收评价时提出的改进意见进行优化完善。</w:t>
      </w:r>
    </w:p>
    <w:p w:rsidR="00C34A8A" w:rsidRDefault="00FD5D49">
      <w:pPr>
        <w:pStyle w:val="afffffffff1"/>
      </w:pPr>
      <w:r>
        <w:rPr>
          <w:rFonts w:hint="eastAsia"/>
        </w:rPr>
        <w:t>正式并网运行后每月应做好容灾备份，每季度应对数据中心的冗余和运行能力进行评价，解决可能存在的安全隐患。</w:t>
      </w:r>
    </w:p>
    <w:p w:rsidR="00C34A8A" w:rsidRDefault="00FD5D49">
      <w:pPr>
        <w:pStyle w:val="afffffffff1"/>
      </w:pPr>
      <w:r>
        <w:rPr>
          <w:rFonts w:hint="eastAsia"/>
        </w:rPr>
        <w:t>每年应对数据中心的运行能力、安全防护和经济价值进行评估，按评估意见完善优化。</w:t>
      </w:r>
    </w:p>
    <w:p w:rsidR="00C34A8A" w:rsidRDefault="00C34A8A">
      <w:pPr>
        <w:pStyle w:val="afffff5"/>
        <w:ind w:firstLine="420"/>
      </w:pPr>
    </w:p>
    <w:p w:rsidR="00C34A8A" w:rsidRDefault="00C34A8A">
      <w:pPr>
        <w:pStyle w:val="afffff5"/>
        <w:ind w:firstLine="420"/>
        <w:sectPr w:rsidR="00C34A8A">
          <w:headerReference w:type="even" r:id="rId20"/>
          <w:headerReference w:type="default" r:id="rId21"/>
          <w:footerReference w:type="even" r:id="rId22"/>
          <w:footerReference w:type="default" r:id="rId23"/>
          <w:pgSz w:w="11906" w:h="16838"/>
          <w:pgMar w:top="1928" w:right="1134" w:bottom="1134" w:left="1134" w:header="1418" w:footer="1134" w:gutter="284"/>
          <w:pgNumType w:start="1"/>
          <w:cols w:space="425"/>
          <w:formProt w:val="0"/>
          <w:docGrid w:type="lines" w:linePitch="312"/>
        </w:sectPr>
      </w:pPr>
    </w:p>
    <w:p w:rsidR="00C34A8A" w:rsidRDefault="00C34A8A">
      <w:pPr>
        <w:pStyle w:val="af8"/>
        <w:rPr>
          <w:vanish w:val="0"/>
        </w:rPr>
      </w:pPr>
      <w:bookmarkStart w:id="45" w:name="BookMark5"/>
      <w:bookmarkEnd w:id="22"/>
    </w:p>
    <w:p w:rsidR="00C34A8A" w:rsidRDefault="00C34A8A">
      <w:pPr>
        <w:pStyle w:val="afe"/>
        <w:rPr>
          <w:vanish w:val="0"/>
        </w:rPr>
      </w:pPr>
    </w:p>
    <w:p w:rsidR="00C34A8A" w:rsidRDefault="00FD5D49">
      <w:pPr>
        <w:pStyle w:val="aff3"/>
        <w:spacing w:after="156"/>
      </w:pPr>
      <w:r>
        <w:br/>
      </w:r>
      <w:r>
        <w:rPr>
          <w:rFonts w:hint="eastAsia"/>
        </w:rPr>
        <w:t>（规范性）</w:t>
      </w:r>
      <w:r>
        <w:br/>
      </w:r>
      <w:r>
        <w:rPr>
          <w:rFonts w:hint="eastAsia"/>
        </w:rPr>
        <w:t>数据标准规范代码集</w:t>
      </w:r>
    </w:p>
    <w:p w:rsidR="00C34A8A" w:rsidRDefault="00FD5D49">
      <w:pPr>
        <w:pStyle w:val="afffff5"/>
        <w:ind w:firstLine="420"/>
      </w:pPr>
      <w:r>
        <w:rPr>
          <w:rFonts w:hint="eastAsia"/>
        </w:rPr>
        <w:t>数据标准规范代码集</w:t>
      </w:r>
      <w:r>
        <w:t>见表</w:t>
      </w:r>
      <w:r>
        <w:rPr>
          <w:rFonts w:hint="eastAsia"/>
        </w:rPr>
        <w:t>A.1</w:t>
      </w:r>
      <w:r>
        <w:rPr>
          <w:rFonts w:hint="eastAsia"/>
        </w:rPr>
        <w:t>至表</w:t>
      </w:r>
      <w:r>
        <w:rPr>
          <w:rFonts w:hint="eastAsia"/>
        </w:rPr>
        <w:t>A.50</w:t>
      </w:r>
      <w:r>
        <w:rPr>
          <w:rFonts w:hint="eastAsia"/>
        </w:rPr>
        <w:t>。</w:t>
      </w:r>
    </w:p>
    <w:p w:rsidR="00C34A8A" w:rsidRDefault="00FD5D49">
      <w:pPr>
        <w:pStyle w:val="aff"/>
        <w:spacing w:before="156" w:after="156"/>
      </w:pPr>
      <w:r>
        <w:rPr>
          <w:rFonts w:hint="eastAsia"/>
        </w:rPr>
        <w:t xml:space="preserve"> </w:t>
      </w:r>
      <w:r>
        <w:rPr>
          <w:rFonts w:hint="eastAsia"/>
        </w:rPr>
        <w:t>登记注册机关代码表</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663"/>
        <w:gridCol w:w="1542"/>
      </w:tblGrid>
      <w:tr w:rsidR="00C34A8A">
        <w:trPr>
          <w:trHeight w:val="317"/>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7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27"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320000000</w:t>
            </w:r>
          </w:p>
        </w:tc>
        <w:tc>
          <w:tcPr>
            <w:tcW w:w="357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江苏省市场监督管理局</w:t>
            </w:r>
          </w:p>
        </w:tc>
        <w:tc>
          <w:tcPr>
            <w:tcW w:w="827"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320000001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江苏省纤维检验局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32000031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江苏省药品监督管理局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320200000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320200666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无锡市数据局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320201000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无锡市场监督管理局朝阳分局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320201001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无锡市市场监督管理局专业市场监督管理分局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320201002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无锡市市场监督管理局网络交易监督管理分局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320202000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无锡市崇安区市场监督管理局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320202002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无锡市场监督管理局崇安分局中山路所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320202003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无锡市场监督管理局崇安分局车站所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320203000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无锡市南长区市场监督管理局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320204000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无锡市北塘区市场监督管理局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市场监督管理局东亭分局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市场监督管理局东港分局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320205004</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市场监督管理局羊尖分局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320205005</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市场监督管理局鹅湖分局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市场监督管理局商务区分局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320205007</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市场监督管理局锡北分局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320205009</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市场监督管理局开发区分局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320205010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市场监督管理局东北塘分局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320205666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锡山区</w:t>
            </w:r>
            <w:proofErr w:type="gramEnd"/>
            <w:r>
              <w:rPr>
                <w:rFonts w:ascii="宋体" w:hAnsi="宋体" w:hint="eastAsia"/>
                <w:sz w:val="18"/>
                <w:szCs w:val="18"/>
              </w:rPr>
              <w:t>数据局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市场监督管理局洛社分局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市场监督管理局玉祁分局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市场监督管理局阳山分局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320206004</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市场监督管理局前洲分局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320206005</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市场监督管理局钱桥分局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市场监督管理局开发区分局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320206007</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市场监督管理局堰桥分局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 </w:t>
      </w:r>
      <w:r>
        <w:rPr>
          <w:rFonts w:ascii="黑体" w:eastAsia="黑体" w:hAnsi="黑体" w:hint="eastAsia"/>
        </w:rPr>
        <w:t>登记注册机关代码表</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663"/>
        <w:gridCol w:w="1542"/>
      </w:tblGrid>
      <w:tr w:rsidR="00C34A8A">
        <w:trPr>
          <w:trHeight w:val="317"/>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7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27"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320206008</w:t>
            </w:r>
          </w:p>
        </w:tc>
        <w:tc>
          <w:tcPr>
            <w:tcW w:w="357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市场监督管理局工业转型集聚区</w:t>
            </w:r>
          </w:p>
        </w:tc>
        <w:tc>
          <w:tcPr>
            <w:tcW w:w="827"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320206666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惠山区</w:t>
            </w:r>
            <w:proofErr w:type="gramEnd"/>
            <w:r>
              <w:rPr>
                <w:rFonts w:ascii="宋体" w:hAnsi="宋体" w:hint="eastAsia"/>
                <w:sz w:val="18"/>
                <w:szCs w:val="18"/>
              </w:rPr>
              <w:t>数据局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市场监督管理局荣巷分局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市场监督管理局蠡园分局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320211008</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市场监督管理局河埒分局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320211013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市场监督管理局马山分局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320211015</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市场监督管理局雪浪分局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320211019</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市场监督管理局胡埭分局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320211020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w:t>
            </w:r>
            <w:proofErr w:type="gramEnd"/>
            <w:r>
              <w:rPr>
                <w:rFonts w:ascii="宋体" w:hAnsi="宋体" w:hint="eastAsia"/>
                <w:sz w:val="18"/>
                <w:szCs w:val="18"/>
              </w:rPr>
              <w:t>市场监督管理局蠡湖分局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320211666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w:t>
            </w:r>
            <w:proofErr w:type="gramStart"/>
            <w:r>
              <w:rPr>
                <w:rFonts w:ascii="宋体" w:hAnsi="宋体" w:hint="eastAsia"/>
                <w:sz w:val="18"/>
                <w:szCs w:val="18"/>
              </w:rPr>
              <w:t>滨湖区数据</w:t>
            </w:r>
            <w:proofErr w:type="gramEnd"/>
            <w:r>
              <w:rPr>
                <w:rFonts w:ascii="宋体" w:hAnsi="宋体" w:hint="eastAsia"/>
                <w:sz w:val="18"/>
                <w:szCs w:val="18"/>
              </w:rPr>
              <w:t>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无锡市梁溪区市场监督管理局广益一分局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无锡市梁溪区市场监督管理局崇安寺分局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320213007</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无锡市梁溪区市场监督管理局清名桥二分局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320213008</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无锡市梁溪区市场监督管理局清名桥一分局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320213009</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无锡市梁溪区市场监督管理局扬名一分局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无锡市梁溪区市场监督管理局惠山二分局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无锡市梁溪区市场监督管理局扬名二分局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无锡市梁溪区市场监督管理局惠山一分局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320213015</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无锡市梁溪区市场监督管理局黄巷分局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无锡市梁溪区市场监督管理局北大街分局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320213017</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无锡市梁溪区市场监督管理局山北分局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320213018</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无锡市梁溪区市场监督管理局广益二分局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320213021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无锡市梁溪区市场监督管理局瞻江分局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320213666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无锡市梁溪</w:t>
            </w:r>
            <w:proofErr w:type="gramStart"/>
            <w:r>
              <w:rPr>
                <w:rFonts w:ascii="宋体" w:hAnsi="宋体" w:hint="eastAsia"/>
                <w:sz w:val="18"/>
                <w:szCs w:val="18"/>
              </w:rPr>
              <w:t>区数据</w:t>
            </w:r>
            <w:proofErr w:type="gramEnd"/>
            <w:r>
              <w:rPr>
                <w:rFonts w:ascii="宋体" w:hAnsi="宋体" w:hint="eastAsia"/>
                <w:sz w:val="18"/>
                <w:szCs w:val="18"/>
              </w:rPr>
              <w:t>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无锡市场监督管理局新区分局经检大队</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无锡国家高新技术产业开发区（无锡市新吴区）市场监督管理局空港分局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无锡国家高新技术产业开发区（无锡市新吴区）市场监督管理局江溪分局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320214005</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无锡国家高新技术产业开发区（无锡市新吴区）市场监督管理局梅村分局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无锡国家高新技术产业开发区（无锡市新吴区）市场监督管理局鸿山分局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320214007</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无锡国家高新技术产业开发区（无锡市新吴区）市场监督管理局旺庄分局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320214008</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无锡国家高新技术产业开发区（无锡市新吴区）市场监督管理局新安分局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320214666</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无锡高新技术产业开发区（无锡市新吴区）数据局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320281000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320281001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江阴市市场监督管理局澄南分局</w:t>
            </w:r>
          </w:p>
        </w:tc>
        <w:tc>
          <w:tcPr>
            <w:tcW w:w="82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 </w:t>
      </w:r>
      <w:r>
        <w:rPr>
          <w:rFonts w:ascii="黑体" w:eastAsia="黑体" w:hAnsi="黑体" w:hint="eastAsia"/>
        </w:rPr>
        <w:t>登记注册机关代码表</w:t>
      </w:r>
      <w:r>
        <w:rPr>
          <w:rFonts w:hAnsi="宋体" w:hint="eastAsia"/>
        </w:rPr>
        <w:t>（续）</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9"/>
        <w:gridCol w:w="6665"/>
        <w:gridCol w:w="1540"/>
      </w:tblGrid>
      <w:tr w:rsidR="00C34A8A">
        <w:trPr>
          <w:trHeight w:val="317"/>
        </w:trPr>
        <w:tc>
          <w:tcPr>
            <w:tcW w:w="600"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74"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27"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trPr>
        <w:tc>
          <w:tcPr>
            <w:tcW w:w="600"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320281002</w:t>
            </w:r>
          </w:p>
        </w:tc>
        <w:tc>
          <w:tcPr>
            <w:tcW w:w="3574"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江阴市市场监督管理局澄北分局</w:t>
            </w:r>
          </w:p>
        </w:tc>
        <w:tc>
          <w:tcPr>
            <w:tcW w:w="827"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320281003</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江阴市市场监督管理局要塞分局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320281005</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江阴市市场监督管理局长泾分局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320281006</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江阴市市场监督管理局祝塘分局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320281007</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江阴市市场监督管理局华士分局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320281008</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江阴市市场监督管理局周庄分局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320281009</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江阴市市场监督管理局青阳分局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320281010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江阴市市场监督管理局徐霞客分局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320281013</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江阴市市场监督管理局高新区分局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320281015</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江阴市市场监督管理局顾山分局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320281016</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江阴市市场监督管理局南闸分局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320281024</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江阴市市场监督管理局新桥分局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320281032</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江阴市市场监督管理局临港经济开发区分局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320281033</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江阴市市场监督管理局云亭分局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320281034</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江阴市市场监督管理局璜土分局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320281035</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江阴市市场监督管理局月城分局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320281666</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江阴市数据局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320282001</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宜兴市市场监督管理局宜城分局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320282002</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宜兴市市场监督管理局环科园分局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320282003</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宜兴市市场监督管理局城北分局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320282004</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宜兴市市场监督管理局丁蜀分局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320282005</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宜兴市市场监督管理局丁郊分局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320282007</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宜兴市市场监督管理局阳羡分局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320282008</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宜兴市市场监督管理局开发区分局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宜兴市市场监督管理局和</w:t>
            </w:r>
            <w:proofErr w:type="gramStart"/>
            <w:r>
              <w:rPr>
                <w:rFonts w:ascii="宋体" w:hAnsi="宋体" w:hint="eastAsia"/>
                <w:sz w:val="18"/>
                <w:szCs w:val="18"/>
              </w:rPr>
              <w:t>桥分局</w:t>
            </w:r>
            <w:proofErr w:type="gramEnd"/>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320282011</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宜兴市市场监督管理局高塍分局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320282012</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宜兴市市场监督管理局官林分局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320282014</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宜兴市市场监督管理局徐舍分局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320282015</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宜兴市市场监督管理局周铁分局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320282016</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宜兴市市场监督管理局西渚分局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320282017</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宜兴市市场监督管理局新庄分局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320282018</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宜兴市市场监督管理局杨巷分局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320282019</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宜兴市市场监督管理局新建分局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320282020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宜兴市市场监督管理局万石分局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320282021</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宜兴市市场监督管理局陶都分局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320282022</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宜兴市市场监督管理局太华分局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 </w:t>
      </w:r>
      <w:r>
        <w:rPr>
          <w:rFonts w:ascii="黑体" w:eastAsia="黑体" w:hAnsi="黑体" w:hint="eastAsia"/>
        </w:rPr>
        <w:t>登记注册机关代码表</w:t>
      </w:r>
      <w:r>
        <w:rPr>
          <w:rFonts w:hAnsi="宋体" w:hint="eastAsia"/>
        </w:rPr>
        <w:t>（续）</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9"/>
        <w:gridCol w:w="6665"/>
        <w:gridCol w:w="1540"/>
      </w:tblGrid>
      <w:tr w:rsidR="00C34A8A">
        <w:trPr>
          <w:trHeight w:val="317"/>
        </w:trPr>
        <w:tc>
          <w:tcPr>
            <w:tcW w:w="600"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74"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27"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trPr>
        <w:tc>
          <w:tcPr>
            <w:tcW w:w="600"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320282666</w:t>
            </w:r>
          </w:p>
        </w:tc>
        <w:tc>
          <w:tcPr>
            <w:tcW w:w="3574"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宜兴市数据局</w:t>
            </w:r>
          </w:p>
        </w:tc>
        <w:tc>
          <w:tcPr>
            <w:tcW w:w="827"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320292000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江苏无锡经济开发区市场监督管理局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320292014</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江苏无锡经济开发区市场监督管理局太湖分局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320292018</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江苏无锡经济开发区市场监督管理局华庄分局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320292666</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江苏无锡经济开发区数据局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320293000</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江苏省市场监督管理局江苏江阴</w:t>
            </w:r>
            <w:r>
              <w:rPr>
                <w:rFonts w:ascii="宋体" w:hAnsi="宋体" w:hint="eastAsia"/>
                <w:sz w:val="18"/>
                <w:szCs w:val="18"/>
              </w:rPr>
              <w:t>-</w:t>
            </w:r>
            <w:r>
              <w:rPr>
                <w:rFonts w:ascii="宋体" w:hAnsi="宋体" w:hint="eastAsia"/>
                <w:sz w:val="18"/>
                <w:szCs w:val="18"/>
              </w:rPr>
              <w:t>靖江工业园区分局</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7"/>
        </w:trPr>
        <w:tc>
          <w:tcPr>
            <w:tcW w:w="600" w:type="pct"/>
          </w:tcPr>
          <w:p w:rsidR="00C34A8A" w:rsidRDefault="00FD5D49">
            <w:pPr>
              <w:spacing w:line="240" w:lineRule="auto"/>
              <w:jc w:val="center"/>
              <w:rPr>
                <w:rFonts w:ascii="宋体" w:hAnsi="宋体"/>
                <w:sz w:val="18"/>
                <w:szCs w:val="18"/>
              </w:rPr>
            </w:pPr>
            <w:r>
              <w:rPr>
                <w:rFonts w:ascii="宋体" w:hAnsi="宋体" w:hint="eastAsia"/>
                <w:sz w:val="18"/>
                <w:szCs w:val="18"/>
              </w:rPr>
              <w:t>320293001</w:t>
            </w:r>
          </w:p>
        </w:tc>
        <w:tc>
          <w:tcPr>
            <w:tcW w:w="3574" w:type="pct"/>
          </w:tcPr>
          <w:p w:rsidR="00C34A8A" w:rsidRDefault="00FD5D49">
            <w:pPr>
              <w:spacing w:line="240" w:lineRule="auto"/>
              <w:jc w:val="center"/>
              <w:rPr>
                <w:rFonts w:ascii="宋体" w:hAnsi="宋体"/>
                <w:sz w:val="18"/>
                <w:szCs w:val="18"/>
              </w:rPr>
            </w:pPr>
            <w:r>
              <w:rPr>
                <w:rFonts w:ascii="宋体" w:hAnsi="宋体" w:hint="eastAsia"/>
                <w:sz w:val="18"/>
                <w:szCs w:val="18"/>
              </w:rPr>
              <w:t>江苏省江阴经济开发区靖江园区分局经检支队</w:t>
            </w:r>
          </w:p>
        </w:tc>
        <w:tc>
          <w:tcPr>
            <w:tcW w:w="827" w:type="pct"/>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pPr>
        <w:pStyle w:val="aff"/>
        <w:spacing w:before="156" w:after="156"/>
      </w:pPr>
      <w:r>
        <w:rPr>
          <w:rFonts w:hint="eastAsia"/>
        </w:rPr>
        <w:t xml:space="preserve"> </w:t>
      </w:r>
      <w:r>
        <w:rPr>
          <w:rFonts w:hint="eastAsia"/>
        </w:rPr>
        <w:t>市场主体类型代码表</w:t>
      </w:r>
    </w:p>
    <w:tbl>
      <w:tblPr>
        <w:tblStyle w:val="affff7"/>
        <w:tblW w:w="5015"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664"/>
        <w:gridCol w:w="1569"/>
      </w:tblGrid>
      <w:tr w:rsidR="00C34A8A">
        <w:trPr>
          <w:trHeight w:val="319"/>
          <w:jc w:val="center"/>
        </w:trPr>
        <w:tc>
          <w:tcPr>
            <w:tcW w:w="59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6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3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9"/>
          <w:jc w:val="center"/>
        </w:trPr>
        <w:tc>
          <w:tcPr>
            <w:tcW w:w="598"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1000</w:t>
            </w:r>
          </w:p>
        </w:tc>
        <w:tc>
          <w:tcPr>
            <w:tcW w:w="356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内资公司</w:t>
            </w:r>
          </w:p>
        </w:tc>
        <w:tc>
          <w:tcPr>
            <w:tcW w:w="83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1100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1110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国有独资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1120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外商投资企业投资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1121</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外商投资企业合资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1122</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外商投资企业与内资合资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1123</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外商投资企业法人独资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1130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自然人投资或控股</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自然人投资或控股是指投资人全部是自然人或由自然人控股的企业</w:t>
            </w:r>
            <w:r>
              <w:rPr>
                <w:rFonts w:hAnsi="宋体" w:hint="eastAsia"/>
                <w:szCs w:val="18"/>
              </w:rPr>
              <w:t>(</w:t>
            </w:r>
            <w:r>
              <w:rPr>
                <w:rFonts w:hAnsi="宋体" w:hint="eastAsia"/>
                <w:szCs w:val="18"/>
              </w:rPr>
              <w:t>下同</w:t>
            </w: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1140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国有控股</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1150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一人有限责任公司</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1151</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自然人独资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1152</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自然人投资或控股的法人独资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1153</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有限责任公司（非自然人投资或控股的法人独资）</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1190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其他有限责任公司</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1200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1210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上市</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1211</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上市、外商投资企业投资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1212</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上市、自然人投资或控股</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1213</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上市、国有控股</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1219</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其他股份有限公司</w:t>
            </w:r>
            <w:r>
              <w:rPr>
                <w:rFonts w:ascii="宋体" w:hAnsi="宋体" w:hint="eastAsia"/>
                <w:sz w:val="18"/>
                <w:szCs w:val="18"/>
              </w:rPr>
              <w:t>(</w:t>
            </w:r>
            <w:r>
              <w:rPr>
                <w:rFonts w:ascii="宋体" w:hAnsi="宋体" w:hint="eastAsia"/>
                <w:sz w:val="18"/>
                <w:szCs w:val="18"/>
              </w:rPr>
              <w:t>上市</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1220</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非上市</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1221</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非上市、外商投资企业投资</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1222</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非上市、自然人投资或控股</w:t>
            </w:r>
            <w:r>
              <w:rPr>
                <w:rFonts w:ascii="宋体" w:hAnsi="宋体" w:hint="eastAsia"/>
                <w:sz w:val="18"/>
                <w:szCs w:val="18"/>
              </w:rPr>
              <w:t>)</w:t>
            </w:r>
          </w:p>
        </w:tc>
        <w:tc>
          <w:tcPr>
            <w:tcW w:w="83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9"/>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1223</w:t>
            </w:r>
          </w:p>
        </w:tc>
        <w:tc>
          <w:tcPr>
            <w:tcW w:w="356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非上市、国有控股</w:t>
            </w:r>
            <w:r>
              <w:rPr>
                <w:rFonts w:ascii="宋体" w:hAnsi="宋体" w:hint="eastAsia"/>
                <w:sz w:val="18"/>
                <w:szCs w:val="18"/>
              </w:rPr>
              <w:t>)</w:t>
            </w:r>
          </w:p>
        </w:tc>
        <w:tc>
          <w:tcPr>
            <w:tcW w:w="839" w:type="pct"/>
            <w:shd w:val="clear" w:color="auto" w:fill="auto"/>
          </w:tcPr>
          <w:p w:rsidR="00C34A8A" w:rsidRDefault="00FD5D49">
            <w:pPr>
              <w:jc w:val="center"/>
            </w:pPr>
            <w: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 </w:t>
      </w:r>
      <w:r>
        <w:rPr>
          <w:rFonts w:ascii="黑体" w:eastAsia="黑体" w:hAnsi="黑体" w:hint="eastAsia"/>
        </w:rPr>
        <w:t>市场主体类型代码表</w:t>
      </w:r>
      <w:r>
        <w:rPr>
          <w:rFonts w:hAnsi="宋体" w:hint="eastAsia"/>
        </w:rPr>
        <w:t>（续）</w:t>
      </w:r>
    </w:p>
    <w:tbl>
      <w:tblPr>
        <w:tblStyle w:val="affff7"/>
        <w:tblW w:w="5031"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8"/>
        <w:gridCol w:w="6663"/>
        <w:gridCol w:w="1601"/>
      </w:tblGrid>
      <w:tr w:rsidR="00C34A8A">
        <w:trPr>
          <w:trHeight w:val="319"/>
          <w:jc w:val="center"/>
        </w:trPr>
        <w:tc>
          <w:tcPr>
            <w:tcW w:w="596"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5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5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9"/>
          <w:jc w:val="center"/>
        </w:trPr>
        <w:tc>
          <w:tcPr>
            <w:tcW w:w="596"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1229</w:t>
            </w:r>
          </w:p>
        </w:tc>
        <w:tc>
          <w:tcPr>
            <w:tcW w:w="355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其他股份有限公司</w:t>
            </w:r>
            <w:r>
              <w:rPr>
                <w:rFonts w:ascii="宋体" w:hAnsi="宋体" w:hint="eastAsia"/>
                <w:sz w:val="18"/>
                <w:szCs w:val="18"/>
              </w:rPr>
              <w:t>(</w:t>
            </w:r>
            <w:r>
              <w:rPr>
                <w:rFonts w:ascii="宋体" w:hAnsi="宋体" w:hint="eastAsia"/>
                <w:sz w:val="18"/>
                <w:szCs w:val="18"/>
              </w:rPr>
              <w:t>非上市</w:t>
            </w:r>
            <w:r>
              <w:rPr>
                <w:rFonts w:ascii="宋体" w:hAnsi="宋体" w:hint="eastAsia"/>
                <w:sz w:val="18"/>
                <w:szCs w:val="18"/>
              </w:rPr>
              <w:t>)</w:t>
            </w:r>
          </w:p>
        </w:tc>
        <w:tc>
          <w:tcPr>
            <w:tcW w:w="853" w:type="pct"/>
            <w:tcBorders>
              <w:top w:val="single" w:sz="12" w:space="0" w:color="auto"/>
            </w:tcBorders>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2000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内资分公司</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2100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2110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国有独资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2120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外商投资企业投资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2121</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外商投资企业合资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2122</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外商投资企业与内资合资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2123</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外商投资企业法人独资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2130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自然人投资或控股</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2140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国有控股</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2150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一人有限责任公司分公司</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2151</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自然人独资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2152</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w:t>
            </w:r>
            <w:r>
              <w:rPr>
                <w:rFonts w:ascii="宋体" w:hAnsi="宋体" w:hint="eastAsia"/>
                <w:sz w:val="18"/>
                <w:szCs w:val="18"/>
              </w:rPr>
              <w:t>(</w:t>
            </w:r>
            <w:r>
              <w:rPr>
                <w:rFonts w:ascii="宋体" w:hAnsi="宋体" w:hint="eastAsia"/>
                <w:sz w:val="18"/>
                <w:szCs w:val="18"/>
              </w:rPr>
              <w:t>自然人投资或控股的法人独资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2153</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有限责任公司分公司（非自然人投资或控股的法人独资）</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2190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其他有限责任公司分公司</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2200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2210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上市</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2211</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上市、外商投资企业投资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2212</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上市、自然人投资或控股</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2213</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上市、国有控股</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2219</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其他股份有限公司分公司</w:t>
            </w:r>
            <w:r>
              <w:rPr>
                <w:rFonts w:ascii="宋体" w:hAnsi="宋体" w:hint="eastAsia"/>
                <w:sz w:val="18"/>
                <w:szCs w:val="18"/>
              </w:rPr>
              <w:t>(</w:t>
            </w:r>
            <w:r>
              <w:rPr>
                <w:rFonts w:ascii="宋体" w:hAnsi="宋体" w:hint="eastAsia"/>
                <w:sz w:val="18"/>
                <w:szCs w:val="18"/>
              </w:rPr>
              <w:t>上市</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2220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非上市</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2221</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非上市、外商投资企业投资</w:t>
            </w:r>
            <w:r>
              <w:rPr>
                <w:rFonts w:ascii="宋体" w:hAnsi="宋体" w:hint="eastAsia"/>
                <w:sz w:val="18"/>
                <w:szCs w:val="18"/>
              </w:rPr>
              <w:t>)</w:t>
            </w:r>
          </w:p>
        </w:tc>
        <w:tc>
          <w:tcPr>
            <w:tcW w:w="853" w:type="pct"/>
            <w:shd w:val="clear" w:color="auto" w:fill="auto"/>
          </w:tcPr>
          <w:p w:rsidR="00C34A8A" w:rsidRDefault="00FD5D49">
            <w:pPr>
              <w:jc w:val="center"/>
            </w:pPr>
            <w: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2222</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非上市、自然人投资或控股</w:t>
            </w:r>
            <w:r>
              <w:rPr>
                <w:rFonts w:ascii="宋体" w:hAnsi="宋体" w:hint="eastAsia"/>
                <w:sz w:val="18"/>
                <w:szCs w:val="18"/>
              </w:rPr>
              <w:t>)</w:t>
            </w:r>
          </w:p>
        </w:tc>
        <w:tc>
          <w:tcPr>
            <w:tcW w:w="853" w:type="pct"/>
            <w:shd w:val="clear" w:color="auto" w:fill="auto"/>
            <w:vAlign w:val="center"/>
          </w:tcPr>
          <w:p w:rsidR="00C34A8A" w:rsidRDefault="00FD5D49">
            <w:pPr>
              <w:pStyle w:val="afffffffff9"/>
              <w:rPr>
                <w:rFonts w:hAnsi="宋体"/>
                <w:szCs w:val="18"/>
              </w:rPr>
            </w:pPr>
            <w:r>
              <w:rPr>
                <w:rFonts w:hAnsi="宋体"/>
                <w:szCs w:val="18"/>
              </w:rP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2223</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股份有限公司分公司</w:t>
            </w:r>
            <w:r>
              <w:rPr>
                <w:rFonts w:ascii="宋体" w:hAnsi="宋体" w:hint="eastAsia"/>
                <w:sz w:val="18"/>
                <w:szCs w:val="18"/>
              </w:rPr>
              <w:t>(</w:t>
            </w:r>
            <w:r>
              <w:rPr>
                <w:rFonts w:ascii="宋体" w:hAnsi="宋体" w:hint="eastAsia"/>
                <w:sz w:val="18"/>
                <w:szCs w:val="18"/>
              </w:rPr>
              <w:t>国有控股</w:t>
            </w:r>
            <w:r>
              <w:rPr>
                <w:rFonts w:ascii="宋体" w:hAnsi="宋体" w:hint="eastAsia"/>
                <w:sz w:val="18"/>
                <w:szCs w:val="18"/>
              </w:rPr>
              <w:t>)</w:t>
            </w:r>
          </w:p>
        </w:tc>
        <w:tc>
          <w:tcPr>
            <w:tcW w:w="853" w:type="pct"/>
            <w:shd w:val="clear" w:color="auto" w:fill="auto"/>
            <w:vAlign w:val="center"/>
          </w:tcPr>
          <w:p w:rsidR="00C34A8A" w:rsidRDefault="00FD5D49">
            <w:pPr>
              <w:pStyle w:val="afffffffff9"/>
              <w:rPr>
                <w:rFonts w:hAnsi="宋体"/>
                <w:b/>
                <w:szCs w:val="18"/>
              </w:rPr>
            </w:pPr>
            <w:r>
              <w:rPr>
                <w:rFonts w:hAnsi="宋体"/>
                <w:b/>
                <w:szCs w:val="18"/>
              </w:rP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2229</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其他股份有限公司分公司</w:t>
            </w:r>
            <w:r>
              <w:rPr>
                <w:rFonts w:ascii="宋体" w:hAnsi="宋体" w:hint="eastAsia"/>
                <w:sz w:val="18"/>
                <w:szCs w:val="18"/>
              </w:rPr>
              <w:t>(</w:t>
            </w:r>
            <w:r>
              <w:rPr>
                <w:rFonts w:ascii="宋体" w:hAnsi="宋体" w:hint="eastAsia"/>
                <w:sz w:val="18"/>
                <w:szCs w:val="18"/>
              </w:rPr>
              <w:t>非上市</w:t>
            </w:r>
            <w:r>
              <w:rPr>
                <w:rFonts w:ascii="宋体" w:hAnsi="宋体" w:hint="eastAsia"/>
                <w:sz w:val="18"/>
                <w:szCs w:val="18"/>
              </w:rPr>
              <w:t>)</w:t>
            </w:r>
          </w:p>
        </w:tc>
        <w:tc>
          <w:tcPr>
            <w:tcW w:w="853" w:type="pct"/>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3000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内资企业法人</w:t>
            </w:r>
          </w:p>
        </w:tc>
        <w:tc>
          <w:tcPr>
            <w:tcW w:w="853" w:type="pct"/>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9"/>
          <w:jc w:val="center"/>
        </w:trPr>
        <w:tc>
          <w:tcPr>
            <w:tcW w:w="596"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3100</w:t>
            </w:r>
          </w:p>
        </w:tc>
        <w:tc>
          <w:tcPr>
            <w:tcW w:w="355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全民所有制</w:t>
            </w:r>
          </w:p>
        </w:tc>
        <w:tc>
          <w:tcPr>
            <w:tcW w:w="853" w:type="pct"/>
            <w:shd w:val="clear" w:color="auto" w:fill="auto"/>
            <w:vAlign w:val="center"/>
          </w:tcPr>
          <w:p w:rsidR="00C34A8A" w:rsidRDefault="00FD5D49">
            <w:pPr>
              <w:pStyle w:val="afffffffff9"/>
              <w:rPr>
                <w:rFonts w:hAnsi="宋体"/>
                <w:b/>
                <w:szCs w:val="18"/>
              </w:rPr>
            </w:pPr>
            <w:r>
              <w:rPr>
                <w:rFonts w:hAnsi="宋体" w:hint="eastAsia"/>
                <w:b/>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 </w:t>
      </w:r>
      <w:r>
        <w:rPr>
          <w:rFonts w:ascii="黑体" w:eastAsia="黑体" w:hAnsi="黑体" w:hint="eastAsia"/>
        </w:rPr>
        <w:t>市场主体类型代码表</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663"/>
        <w:gridCol w:w="1542"/>
      </w:tblGrid>
      <w:tr w:rsidR="00C34A8A">
        <w:trPr>
          <w:trHeight w:val="318"/>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7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27"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3200</w:t>
            </w:r>
          </w:p>
        </w:tc>
        <w:tc>
          <w:tcPr>
            <w:tcW w:w="357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集体所有制</w:t>
            </w:r>
          </w:p>
        </w:tc>
        <w:tc>
          <w:tcPr>
            <w:tcW w:w="827" w:type="pct"/>
            <w:tcBorders>
              <w:top w:val="single" w:sz="12" w:space="0" w:color="auto"/>
            </w:tcBorders>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3300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股份制</w:t>
            </w:r>
          </w:p>
        </w:tc>
        <w:tc>
          <w:tcPr>
            <w:tcW w:w="827" w:type="pct"/>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3400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股份合作制</w:t>
            </w:r>
          </w:p>
        </w:tc>
        <w:tc>
          <w:tcPr>
            <w:tcW w:w="827" w:type="pct"/>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3500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联营</w:t>
            </w:r>
          </w:p>
        </w:tc>
        <w:tc>
          <w:tcPr>
            <w:tcW w:w="827" w:type="pct"/>
            <w:shd w:val="clear" w:color="auto" w:fill="auto"/>
            <w:vAlign w:val="center"/>
          </w:tcPr>
          <w:p w:rsidR="00C34A8A" w:rsidRDefault="00FD5D49">
            <w:pPr>
              <w:pStyle w:val="afffffffff9"/>
              <w:rPr>
                <w:rFonts w:hAnsi="宋体"/>
                <w:b/>
                <w:szCs w:val="18"/>
              </w:rPr>
            </w:pPr>
            <w:r>
              <w:rPr>
                <w:rFonts w:hAnsi="宋体" w:hint="eastAsia"/>
                <w:b/>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3700</w:t>
            </w:r>
            <w:r>
              <w:rPr>
                <w:rFonts w:ascii="宋体" w:hAnsi="宋体"/>
                <w:sz w:val="18"/>
                <w:szCs w:val="18"/>
              </w:rPr>
              <w:t>5110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会员制</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仅上海黄金</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内资非法人企业、非公司私营企业及内资非公司企业分支机构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4100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事业单位营业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4110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国有事业单位营业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4120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集体事业单位营业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4200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社团法人营业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4210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国有社团法人营业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4220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集体社团法人营业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4300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内资企业法人分支机构</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4310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全民所有制分支机构</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4320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集体分支机构</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4330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股份制分支机构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4340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股份合作制分支机构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4400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经营单位</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4410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国有经营单位</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4420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集体经营单位</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非公司私营企业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4530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合伙企业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4531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普通合伙企业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4532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特殊普通合伙企业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4533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有限合伙企业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4540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个人独资企业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4550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合伙企业分支机构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4551</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普通合伙企业分支机构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4552</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特殊普通合伙企业分支机构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4553</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有限合伙企业分支机构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4560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个人独资企业分支机构</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4600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联营</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4700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股份制企业</w:t>
            </w:r>
            <w:r>
              <w:rPr>
                <w:rFonts w:ascii="宋体" w:hAnsi="宋体" w:hint="eastAsia"/>
                <w:sz w:val="18"/>
                <w:szCs w:val="18"/>
              </w:rPr>
              <w:t>(</w:t>
            </w:r>
            <w:r>
              <w:rPr>
                <w:rFonts w:ascii="宋体" w:hAnsi="宋体" w:hint="eastAsia"/>
                <w:sz w:val="18"/>
                <w:szCs w:val="18"/>
              </w:rPr>
              <w:t>非法人</w:t>
            </w:r>
            <w:r>
              <w:rPr>
                <w:rFonts w:ascii="宋体" w:hAnsi="宋体" w:hint="eastAsia"/>
                <w:sz w:val="18"/>
                <w:szCs w:val="18"/>
              </w:rPr>
              <w:t>)</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5000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外商投资企业</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5100</w:t>
            </w:r>
          </w:p>
        </w:tc>
        <w:tc>
          <w:tcPr>
            <w:tcW w:w="357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p>
        </w:tc>
        <w:tc>
          <w:tcPr>
            <w:tcW w:w="827"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 </w:t>
      </w:r>
      <w:r>
        <w:rPr>
          <w:rFonts w:ascii="黑体" w:eastAsia="黑体" w:hAnsi="黑体" w:hint="eastAsia"/>
        </w:rPr>
        <w:t>市场主体类型代码表</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06"/>
        <w:gridCol w:w="6581"/>
        <w:gridCol w:w="1637"/>
      </w:tblGrid>
      <w:tr w:rsidR="00C34A8A">
        <w:trPr>
          <w:trHeight w:val="321"/>
          <w:jc w:val="center"/>
        </w:trPr>
        <w:tc>
          <w:tcPr>
            <w:tcW w:w="59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2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21"/>
          <w:jc w:val="center"/>
        </w:trPr>
        <w:tc>
          <w:tcPr>
            <w:tcW w:w="59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5110</w:t>
            </w:r>
          </w:p>
        </w:tc>
        <w:tc>
          <w:tcPr>
            <w:tcW w:w="352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中外合资</w:t>
            </w:r>
            <w:r>
              <w:rPr>
                <w:rFonts w:ascii="宋体" w:hAnsi="宋体" w:hint="eastAsia"/>
                <w:sz w:val="18"/>
                <w:szCs w:val="18"/>
              </w:rPr>
              <w:t>)</w:t>
            </w:r>
          </w:p>
        </w:tc>
        <w:tc>
          <w:tcPr>
            <w:tcW w:w="878" w:type="pct"/>
            <w:vMerge w:val="restar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中外合作</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外商合资</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5140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外国自然人独资</w:t>
            </w:r>
            <w:r>
              <w:rPr>
                <w:rFonts w:ascii="宋体" w:hAnsi="宋体" w:hint="eastAsia"/>
                <w:sz w:val="18"/>
                <w:szCs w:val="18"/>
              </w:rPr>
              <w:t>)</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5150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外国法人独资</w:t>
            </w:r>
            <w:r>
              <w:rPr>
                <w:rFonts w:ascii="宋体" w:hAnsi="宋体" w:hint="eastAsia"/>
                <w:sz w:val="18"/>
                <w:szCs w:val="18"/>
              </w:rPr>
              <w:t>)</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5160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外国非法人经济组织独资</w:t>
            </w:r>
            <w:r>
              <w:rPr>
                <w:rFonts w:ascii="宋体" w:hAnsi="宋体" w:hint="eastAsia"/>
                <w:sz w:val="18"/>
                <w:szCs w:val="18"/>
              </w:rPr>
              <w:t>)</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日起不再新增</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5180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有限责任公司（外商投资、非独资）</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日起开始使用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5190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中外合资、未上市</w:t>
            </w:r>
            <w:r>
              <w:rPr>
                <w:rFonts w:ascii="宋体" w:hAnsi="宋体" w:hint="eastAsia"/>
                <w:sz w:val="18"/>
                <w:szCs w:val="18"/>
              </w:rPr>
              <w:t>)</w:t>
            </w:r>
          </w:p>
        </w:tc>
        <w:tc>
          <w:tcPr>
            <w:tcW w:w="878" w:type="pct"/>
            <w:vMerge w:val="restar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中外合资、上市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外商合资、未上市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5240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外商合资、上市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5250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股份有限公司（外商投资、未上市）</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日开始使用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5260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股份有限公司（外商投资、上市）</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日开始使用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5290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5300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5310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非公司外商投资企业</w:t>
            </w:r>
            <w:r>
              <w:rPr>
                <w:rFonts w:ascii="宋体" w:hAnsi="宋体" w:hint="eastAsia"/>
                <w:sz w:val="18"/>
                <w:szCs w:val="18"/>
              </w:rPr>
              <w:t>(</w:t>
            </w:r>
            <w:r>
              <w:rPr>
                <w:rFonts w:ascii="宋体" w:hAnsi="宋体" w:hint="eastAsia"/>
                <w:sz w:val="18"/>
                <w:szCs w:val="18"/>
              </w:rPr>
              <w:t>中外合作</w:t>
            </w:r>
            <w:r>
              <w:rPr>
                <w:rFonts w:ascii="宋体" w:hAnsi="宋体" w:hint="eastAsia"/>
                <w:sz w:val="18"/>
                <w:szCs w:val="18"/>
              </w:rPr>
              <w:t>)</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起新设立的外商投资企业，不得选用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5320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非公司外商投资企业</w:t>
            </w:r>
            <w:r>
              <w:rPr>
                <w:rFonts w:ascii="宋体" w:hAnsi="宋体" w:hint="eastAsia"/>
                <w:sz w:val="18"/>
                <w:szCs w:val="18"/>
              </w:rPr>
              <w:t>(</w:t>
            </w:r>
            <w:r>
              <w:rPr>
                <w:rFonts w:ascii="宋体" w:hAnsi="宋体" w:hint="eastAsia"/>
                <w:sz w:val="18"/>
                <w:szCs w:val="18"/>
              </w:rPr>
              <w:t>外商合资</w:t>
            </w:r>
            <w:r>
              <w:rPr>
                <w:rFonts w:ascii="宋体" w:hAnsi="宋体" w:hint="eastAsia"/>
                <w:sz w:val="18"/>
                <w:szCs w:val="18"/>
              </w:rPr>
              <w:t>)</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已废除</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5390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起新设立的外商投资企业，不得选用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5400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5410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5420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特殊普通合伙企业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5430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5490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外商投资企业分支机构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分公司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5820</w:t>
            </w:r>
          </w:p>
        </w:tc>
        <w:tc>
          <w:tcPr>
            <w:tcW w:w="352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非公司外商投资企业分支机构</w:t>
            </w:r>
          </w:p>
        </w:tc>
        <w:tc>
          <w:tcPr>
            <w:tcW w:w="87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5830</w:t>
            </w:r>
          </w:p>
        </w:tc>
        <w:tc>
          <w:tcPr>
            <w:tcW w:w="352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办事处</w:t>
            </w:r>
          </w:p>
        </w:tc>
        <w:tc>
          <w:tcPr>
            <w:tcW w:w="87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 </w:t>
      </w:r>
      <w:r>
        <w:rPr>
          <w:rFonts w:ascii="黑体" w:eastAsia="黑体" w:hAnsi="黑体" w:hint="eastAsia"/>
        </w:rPr>
        <w:t>市场主体类型代码表</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06"/>
        <w:gridCol w:w="6581"/>
        <w:gridCol w:w="1637"/>
      </w:tblGrid>
      <w:tr w:rsidR="00C34A8A">
        <w:trPr>
          <w:trHeight w:val="321"/>
          <w:jc w:val="center"/>
        </w:trPr>
        <w:tc>
          <w:tcPr>
            <w:tcW w:w="59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2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21"/>
          <w:jc w:val="center"/>
        </w:trPr>
        <w:tc>
          <w:tcPr>
            <w:tcW w:w="593" w:type="pct"/>
            <w:tcBorders>
              <w:top w:val="single" w:sz="12"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5840</w:t>
            </w:r>
          </w:p>
        </w:tc>
        <w:tc>
          <w:tcPr>
            <w:tcW w:w="3529" w:type="pct"/>
            <w:tcBorders>
              <w:top w:val="single" w:sz="12"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外商投资合伙企业分支机构</w:t>
            </w:r>
          </w:p>
        </w:tc>
        <w:tc>
          <w:tcPr>
            <w:tcW w:w="878" w:type="pct"/>
            <w:tcBorders>
              <w:top w:val="single" w:sz="12"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5890</w:t>
            </w:r>
          </w:p>
        </w:tc>
        <w:tc>
          <w:tcPr>
            <w:tcW w:w="352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6000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港、澳、台投资企业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台港澳与境内合资</w:t>
            </w:r>
            <w:r>
              <w:rPr>
                <w:rFonts w:ascii="宋体" w:hAnsi="宋体" w:hint="eastAsia"/>
                <w:sz w:val="18"/>
                <w:szCs w:val="18"/>
              </w:rPr>
              <w:t>)</w:t>
            </w:r>
          </w:p>
        </w:tc>
        <w:tc>
          <w:tcPr>
            <w:tcW w:w="878" w:type="pct"/>
            <w:vMerge w:val="restar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21"/>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台港澳与境内合作</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6130</w:t>
            </w:r>
          </w:p>
        </w:tc>
        <w:tc>
          <w:tcPr>
            <w:tcW w:w="352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台</w:t>
            </w:r>
            <w:proofErr w:type="gramStart"/>
            <w:r>
              <w:rPr>
                <w:rFonts w:ascii="宋体" w:hAnsi="宋体" w:hint="eastAsia"/>
                <w:sz w:val="18"/>
                <w:szCs w:val="18"/>
              </w:rPr>
              <w:t>港澳合资</w:t>
            </w:r>
            <w:proofErr w:type="gramEnd"/>
            <w:r>
              <w:rPr>
                <w:rFonts w:ascii="宋体" w:hAnsi="宋体" w:hint="eastAsia"/>
                <w:sz w:val="18"/>
                <w:szCs w:val="18"/>
              </w:rPr>
              <w:t>)</w:t>
            </w:r>
          </w:p>
        </w:tc>
        <w:tc>
          <w:tcPr>
            <w:tcW w:w="878" w:type="pct"/>
            <w:vMerge/>
            <w:tcBorders>
              <w:bottom w:val="single" w:sz="4" w:space="0" w:color="auto"/>
            </w:tcBorders>
            <w:shd w:val="clear" w:color="auto" w:fill="auto"/>
            <w:vAlign w:val="center"/>
          </w:tcPr>
          <w:p w:rsidR="00C34A8A" w:rsidRDefault="00C34A8A">
            <w:pPr>
              <w:pStyle w:val="afffffffff9"/>
              <w:rPr>
                <w:rFonts w:hAnsi="宋体"/>
                <w:szCs w:val="18"/>
              </w:rPr>
            </w:pPr>
          </w:p>
        </w:tc>
      </w:tr>
      <w:tr w:rsidR="00C34A8A">
        <w:trPr>
          <w:trHeight w:val="321"/>
          <w:jc w:val="center"/>
        </w:trPr>
        <w:tc>
          <w:tcPr>
            <w:tcW w:w="593"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6140</w:t>
            </w:r>
          </w:p>
        </w:tc>
        <w:tc>
          <w:tcPr>
            <w:tcW w:w="352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港澳台自然人独资</w:t>
            </w:r>
            <w:r>
              <w:rPr>
                <w:rFonts w:ascii="宋体" w:hAnsi="宋体" w:hint="eastAsia"/>
                <w:sz w:val="18"/>
                <w:szCs w:val="18"/>
              </w:rPr>
              <w:t>)</w:t>
            </w:r>
          </w:p>
        </w:tc>
        <w:tc>
          <w:tcPr>
            <w:tcW w:w="87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6150</w:t>
            </w:r>
          </w:p>
        </w:tc>
        <w:tc>
          <w:tcPr>
            <w:tcW w:w="352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港澳台法人独资</w:t>
            </w:r>
            <w:r>
              <w:rPr>
                <w:rFonts w:ascii="宋体" w:hAnsi="宋体" w:hint="eastAsia"/>
                <w:sz w:val="18"/>
                <w:szCs w:val="18"/>
              </w:rPr>
              <w:t>)</w:t>
            </w:r>
          </w:p>
        </w:tc>
        <w:tc>
          <w:tcPr>
            <w:tcW w:w="87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6160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台港澳非法人经济组织独资</w:t>
            </w:r>
            <w:r>
              <w:rPr>
                <w:rFonts w:ascii="宋体" w:hAnsi="宋体" w:hint="eastAsia"/>
                <w:sz w:val="18"/>
                <w:szCs w:val="18"/>
              </w:rPr>
              <w:t>)</w:t>
            </w:r>
          </w:p>
        </w:tc>
        <w:tc>
          <w:tcPr>
            <w:tcW w:w="878" w:type="pct"/>
            <w:vMerge w:val="restar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6170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w:t>
            </w:r>
            <w:r>
              <w:rPr>
                <w:rFonts w:ascii="宋体" w:hAnsi="宋体" w:hint="eastAsia"/>
                <w:sz w:val="18"/>
                <w:szCs w:val="18"/>
              </w:rPr>
              <w:t>(</w:t>
            </w:r>
            <w:r>
              <w:rPr>
                <w:rFonts w:ascii="宋体" w:hAnsi="宋体" w:hint="eastAsia"/>
                <w:sz w:val="18"/>
                <w:szCs w:val="18"/>
              </w:rPr>
              <w:t>台港澳与外国投资者合资</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6180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有限责任公司（港澳台投资、非独资）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日开始使用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6190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台港澳与境内合资、未上市</w:t>
            </w:r>
            <w:r>
              <w:rPr>
                <w:rFonts w:ascii="宋体" w:hAnsi="宋体" w:hint="eastAsia"/>
                <w:sz w:val="18"/>
                <w:szCs w:val="18"/>
              </w:rPr>
              <w:t>)</w:t>
            </w:r>
          </w:p>
        </w:tc>
        <w:tc>
          <w:tcPr>
            <w:tcW w:w="878" w:type="pct"/>
            <w:vMerge w:val="restar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台港澳与境内合资、上市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台港澳合资、未上市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6240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台港澳合资、上市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6250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台港澳与外国投资者合资、未上市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6260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w:t>
            </w:r>
            <w:r>
              <w:rPr>
                <w:rFonts w:ascii="宋体" w:hAnsi="宋体" w:hint="eastAsia"/>
                <w:sz w:val="18"/>
                <w:szCs w:val="18"/>
              </w:rPr>
              <w:t>(</w:t>
            </w:r>
            <w:r>
              <w:rPr>
                <w:rFonts w:ascii="宋体" w:hAnsi="宋体" w:hint="eastAsia"/>
                <w:sz w:val="18"/>
                <w:szCs w:val="18"/>
              </w:rPr>
              <w:t>台港澳与外国投资者合资、上市</w:t>
            </w:r>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6270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股份有限公司（港澳台投资、未上市）</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日开始使用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6280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股份有限公司（港澳台投资、上市）</w:t>
            </w:r>
          </w:p>
        </w:tc>
        <w:tc>
          <w:tcPr>
            <w:tcW w:w="87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2020</w:t>
            </w:r>
            <w:r>
              <w:rPr>
                <w:rFonts w:ascii="宋体" w:hAnsi="宋体" w:hint="eastAsia"/>
                <w:sz w:val="18"/>
                <w:szCs w:val="18"/>
              </w:rPr>
              <w:t>年</w:t>
            </w:r>
            <w:r>
              <w:rPr>
                <w:rFonts w:ascii="宋体" w:hAnsi="宋体" w:hint="eastAsia"/>
                <w:sz w:val="18"/>
                <w:szCs w:val="18"/>
              </w:rPr>
              <w:t>1</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日开始使用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6290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6300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6310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非公司台、港、澳企业</w:t>
            </w:r>
            <w:r>
              <w:rPr>
                <w:rFonts w:ascii="宋体" w:hAnsi="宋体" w:hint="eastAsia"/>
                <w:sz w:val="18"/>
                <w:szCs w:val="18"/>
              </w:rPr>
              <w:t>(</w:t>
            </w:r>
            <w:r>
              <w:rPr>
                <w:rFonts w:ascii="宋体" w:hAnsi="宋体" w:hint="eastAsia"/>
                <w:sz w:val="18"/>
                <w:szCs w:val="18"/>
              </w:rPr>
              <w:t>台港澳与境内合作</w:t>
            </w:r>
            <w:r>
              <w:rPr>
                <w:rFonts w:ascii="宋体" w:hAnsi="宋体" w:hint="eastAsia"/>
                <w:sz w:val="18"/>
                <w:szCs w:val="18"/>
              </w:rPr>
              <w:t>)</w:t>
            </w:r>
          </w:p>
        </w:tc>
        <w:tc>
          <w:tcPr>
            <w:tcW w:w="878" w:type="pct"/>
            <w:vMerge w:val="restart"/>
            <w:shd w:val="clear" w:color="auto" w:fill="auto"/>
            <w:vAlign w:val="center"/>
          </w:tcPr>
          <w:p w:rsidR="00C34A8A" w:rsidRDefault="00FD5D49">
            <w:pPr>
              <w:pStyle w:val="afffffffff9"/>
              <w:rPr>
                <w:rFonts w:hAnsi="宋体"/>
                <w:szCs w:val="18"/>
              </w:rPr>
            </w:pPr>
            <w:r>
              <w:rPr>
                <w:rFonts w:hAnsi="宋体" w:hint="eastAsia"/>
                <w:szCs w:val="18"/>
              </w:rPr>
              <w:t>2020</w:t>
            </w:r>
            <w:r>
              <w:rPr>
                <w:rFonts w:hAnsi="宋体" w:hint="eastAsia"/>
                <w:szCs w:val="18"/>
              </w:rPr>
              <w:t>年</w:t>
            </w:r>
            <w:r>
              <w:rPr>
                <w:rFonts w:hAnsi="宋体" w:hint="eastAsia"/>
                <w:szCs w:val="18"/>
              </w:rPr>
              <w:t>1</w:t>
            </w:r>
            <w:r>
              <w:rPr>
                <w:rFonts w:hAnsi="宋体" w:hint="eastAsia"/>
                <w:szCs w:val="18"/>
              </w:rPr>
              <w:t>月</w:t>
            </w:r>
            <w:r>
              <w:rPr>
                <w:rFonts w:hAnsi="宋体" w:hint="eastAsia"/>
                <w:szCs w:val="18"/>
              </w:rPr>
              <w:t>1</w:t>
            </w:r>
            <w:r>
              <w:rPr>
                <w:rFonts w:hAnsi="宋体" w:hint="eastAsia"/>
                <w:szCs w:val="18"/>
              </w:rPr>
              <w:t>起新设立的外商投资企业，不得选用</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6320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非公司台、港、澳企业</w:t>
            </w:r>
            <w:r>
              <w:rPr>
                <w:rFonts w:ascii="宋体" w:hAnsi="宋体" w:hint="eastAsia"/>
                <w:sz w:val="18"/>
                <w:szCs w:val="18"/>
              </w:rPr>
              <w:t>(</w:t>
            </w:r>
            <w:r>
              <w:rPr>
                <w:rFonts w:ascii="宋体" w:hAnsi="宋体" w:hint="eastAsia"/>
                <w:sz w:val="18"/>
                <w:szCs w:val="18"/>
              </w:rPr>
              <w:t>台</w:t>
            </w:r>
            <w:proofErr w:type="gramStart"/>
            <w:r>
              <w:rPr>
                <w:rFonts w:ascii="宋体" w:hAnsi="宋体" w:hint="eastAsia"/>
                <w:sz w:val="18"/>
                <w:szCs w:val="18"/>
              </w:rPr>
              <w:t>港澳合资</w:t>
            </w:r>
            <w:proofErr w:type="gramEnd"/>
            <w:r>
              <w:rPr>
                <w:rFonts w:ascii="宋体" w:hAnsi="宋体" w:hint="eastAsia"/>
                <w:sz w:val="18"/>
                <w:szCs w:val="18"/>
              </w:rPr>
              <w:t>)</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6390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vMerge/>
            <w:shd w:val="clear" w:color="auto" w:fill="auto"/>
            <w:vAlign w:val="center"/>
          </w:tcPr>
          <w:p w:rsidR="00C34A8A" w:rsidRDefault="00C34A8A">
            <w:pPr>
              <w:pStyle w:val="afffffffff9"/>
              <w:rPr>
                <w:rFonts w:hAnsi="宋体"/>
                <w:szCs w:val="18"/>
              </w:rPr>
            </w:pP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6400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港、澳、台投资合伙企业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6410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6420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特殊普通合伙企业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6430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有限合伙企业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6490</w:t>
            </w:r>
          </w:p>
        </w:tc>
        <w:tc>
          <w:tcPr>
            <w:tcW w:w="352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6800</w:t>
            </w:r>
          </w:p>
        </w:tc>
        <w:tc>
          <w:tcPr>
            <w:tcW w:w="352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台、港、澳投资企业分支机构</w:t>
            </w:r>
          </w:p>
        </w:tc>
        <w:tc>
          <w:tcPr>
            <w:tcW w:w="87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 </w:t>
      </w:r>
      <w:r>
        <w:rPr>
          <w:rFonts w:ascii="黑体" w:eastAsia="黑体" w:hAnsi="黑体" w:hint="eastAsia"/>
        </w:rPr>
        <w:t>市场主体类型代码表</w:t>
      </w:r>
      <w:r>
        <w:rPr>
          <w:rFonts w:hAnsi="宋体" w:hint="eastAsia"/>
        </w:rPr>
        <w:t>（续）</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06"/>
        <w:gridCol w:w="6581"/>
        <w:gridCol w:w="1637"/>
      </w:tblGrid>
      <w:tr w:rsidR="00C34A8A">
        <w:trPr>
          <w:trHeight w:val="321"/>
          <w:jc w:val="center"/>
        </w:trPr>
        <w:tc>
          <w:tcPr>
            <w:tcW w:w="59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2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3"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6810</w:t>
            </w:r>
          </w:p>
        </w:tc>
        <w:tc>
          <w:tcPr>
            <w:tcW w:w="352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分公司</w:t>
            </w:r>
          </w:p>
        </w:tc>
        <w:tc>
          <w:tcPr>
            <w:tcW w:w="87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6820</w:t>
            </w:r>
          </w:p>
        </w:tc>
        <w:tc>
          <w:tcPr>
            <w:tcW w:w="352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非公司台、港、澳投资企业分支机构</w:t>
            </w:r>
          </w:p>
        </w:tc>
        <w:tc>
          <w:tcPr>
            <w:tcW w:w="87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6830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办事处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6840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港、澳、台投资合伙企业分支机构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6890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7000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外国（地区）企业</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7100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外国（地区）公司分支机构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7110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无限责任公司分支机构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7120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有限责任公司分支机构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7130</w:t>
            </w:r>
          </w:p>
        </w:tc>
        <w:tc>
          <w:tcPr>
            <w:tcW w:w="352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股份有限责任公司分支机构</w:t>
            </w:r>
          </w:p>
        </w:tc>
        <w:tc>
          <w:tcPr>
            <w:tcW w:w="87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7190</w:t>
            </w:r>
          </w:p>
        </w:tc>
        <w:tc>
          <w:tcPr>
            <w:tcW w:w="352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其他形式公司分支机构</w:t>
            </w:r>
          </w:p>
        </w:tc>
        <w:tc>
          <w:tcPr>
            <w:tcW w:w="87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7200</w:t>
            </w:r>
          </w:p>
        </w:tc>
        <w:tc>
          <w:tcPr>
            <w:tcW w:w="352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外国企业常驻代表机构</w:t>
            </w:r>
          </w:p>
        </w:tc>
        <w:tc>
          <w:tcPr>
            <w:tcW w:w="87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7300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企业在中国境内从事生产经营活动</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7310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分公司</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7390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8000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集团</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包括内资企业集团和外资企业集团</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8100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内资集团</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8500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外资集团</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9000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其他类型</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9100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农民专业合作社</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9200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农民专业合作社分支机构</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9500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个体工商户</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9600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自然人</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9900</w:t>
            </w:r>
          </w:p>
        </w:tc>
        <w:tc>
          <w:tcPr>
            <w:tcW w:w="352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业务范围类型代码表</w:t>
      </w:r>
    </w:p>
    <w:tbl>
      <w:tblPr>
        <w:tblStyle w:val="affff7"/>
        <w:tblW w:w="0" w:type="auto"/>
        <w:jc w:val="center"/>
        <w:tblBorders>
          <w:top w:val="single" w:sz="12" w:space="0" w:color="auto"/>
          <w:left w:val="single" w:sz="12" w:space="0" w:color="auto"/>
          <w:bottom w:val="single" w:sz="12" w:space="0" w:color="auto"/>
          <w:right w:val="single" w:sz="12" w:space="0" w:color="auto"/>
        </w:tblBorders>
        <w:tblLayout w:type="fixed"/>
        <w:tblCellMar>
          <w:left w:w="0" w:type="dxa"/>
          <w:right w:w="0" w:type="dxa"/>
        </w:tblCellMar>
        <w:tblLook w:val="04A0" w:firstRow="1" w:lastRow="0" w:firstColumn="1" w:lastColumn="0" w:noHBand="0" w:noVBand="1"/>
      </w:tblPr>
      <w:tblGrid>
        <w:gridCol w:w="1119"/>
        <w:gridCol w:w="6663"/>
        <w:gridCol w:w="1525"/>
      </w:tblGrid>
      <w:tr w:rsidR="00C34A8A">
        <w:trPr>
          <w:trHeight w:val="318"/>
          <w:tblHeader/>
          <w:jc w:val="center"/>
        </w:trPr>
        <w:tc>
          <w:tcPr>
            <w:tcW w:w="1119"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6663"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1525" w:type="dxa"/>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1119"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6663" w:type="dxa"/>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农业生产资料的购买</w:t>
            </w:r>
          </w:p>
        </w:tc>
        <w:tc>
          <w:tcPr>
            <w:tcW w:w="1525" w:type="dxa"/>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农产品销售</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农产品加工</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农产品运输</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农产品贮藏</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与农业生产经营有关的技术、信息等服务</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种植业</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养殖业</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1119" w:type="dxa"/>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6663"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1525" w:type="dxa"/>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C34A8A">
      <w:pPr>
        <w:pStyle w:val="afffff5"/>
        <w:ind w:firstLine="420"/>
      </w:pPr>
    </w:p>
    <w:p w:rsidR="00C34A8A" w:rsidRDefault="00FD5D49">
      <w:pPr>
        <w:pStyle w:val="aff"/>
        <w:spacing w:before="156" w:after="156"/>
      </w:pPr>
      <w:r>
        <w:rPr>
          <w:rFonts w:hint="eastAsia"/>
        </w:rPr>
        <w:lastRenderedPageBreak/>
        <w:t xml:space="preserve"> </w:t>
      </w:r>
      <w:r>
        <w:rPr>
          <w:rFonts w:hint="eastAsia"/>
        </w:rPr>
        <w:t>出资方式代码表</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0"/>
        <w:gridCol w:w="6601"/>
        <w:gridCol w:w="1613"/>
      </w:tblGrid>
      <w:tr w:rsidR="00C34A8A">
        <w:trPr>
          <w:trHeight w:val="318"/>
          <w:tblHeader/>
          <w:jc w:val="center"/>
        </w:trPr>
        <w:tc>
          <w:tcPr>
            <w:tcW w:w="59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4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5"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4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货币</w:t>
            </w:r>
          </w:p>
        </w:tc>
        <w:tc>
          <w:tcPr>
            <w:tcW w:w="865"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实物</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知识产权</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包含高新技术成果</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债权</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土地使用权</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7</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股权</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8</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劳务</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仅适用于合伙企业</w:t>
            </w:r>
          </w:p>
        </w:tc>
      </w:tr>
      <w:tr w:rsidR="00C34A8A">
        <w:trPr>
          <w:trHeight w:val="318"/>
          <w:jc w:val="center"/>
        </w:trPr>
        <w:tc>
          <w:tcPr>
            <w:tcW w:w="59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4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5"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合伙方式代码表</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26"/>
        <w:gridCol w:w="6570"/>
        <w:gridCol w:w="1628"/>
      </w:tblGrid>
      <w:tr w:rsidR="00C34A8A">
        <w:trPr>
          <w:trHeight w:val="318"/>
          <w:tblHeader/>
          <w:jc w:val="center"/>
        </w:trPr>
        <w:tc>
          <w:tcPr>
            <w:tcW w:w="604"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2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3"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4"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23"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普通合伙</w:t>
            </w:r>
          </w:p>
        </w:tc>
        <w:tc>
          <w:tcPr>
            <w:tcW w:w="873"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2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有限合伙</w:t>
            </w:r>
          </w:p>
        </w:tc>
        <w:tc>
          <w:tcPr>
            <w:tcW w:w="873"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2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特殊普通合伙</w:t>
            </w:r>
          </w:p>
        </w:tc>
        <w:tc>
          <w:tcPr>
            <w:tcW w:w="873"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23"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3"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投资人类型代码表</w:t>
      </w:r>
    </w:p>
    <w:tbl>
      <w:tblPr>
        <w:tblStyle w:val="affff7"/>
        <w:tblW w:w="4991"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8"/>
        <w:gridCol w:w="6571"/>
        <w:gridCol w:w="1618"/>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法人股东</w:t>
            </w:r>
          </w:p>
        </w:tc>
        <w:tc>
          <w:tcPr>
            <w:tcW w:w="86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企业法人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不含外商投资企业</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事业法人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社团法人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机关法人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外商投资企业</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不含外商</w:t>
            </w:r>
            <w:proofErr w:type="gramStart"/>
            <w:r>
              <w:rPr>
                <w:rFonts w:ascii="宋体" w:hAnsi="宋体" w:hint="eastAsia"/>
                <w:sz w:val="18"/>
                <w:szCs w:val="18"/>
              </w:rPr>
              <w:t>投资投资</w:t>
            </w:r>
            <w:proofErr w:type="gramEnd"/>
            <w:r>
              <w:rPr>
                <w:rFonts w:ascii="宋体" w:hAnsi="宋体" w:hint="eastAsia"/>
                <w:sz w:val="18"/>
                <w:szCs w:val="18"/>
              </w:rPr>
              <w:t>性公司和外商投资创业投资企业</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自然人股东</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限于国内自然人</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农民自然人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GS</w:t>
            </w:r>
            <w:r>
              <w:rPr>
                <w:rFonts w:ascii="宋体" w:hAnsi="宋体"/>
                <w:sz w:val="18"/>
                <w:szCs w:val="18"/>
              </w:rPr>
              <w:t xml:space="preserve"> </w:t>
            </w:r>
            <w:r>
              <w:rPr>
                <w:rFonts w:ascii="宋体" w:hAnsi="宋体" w:hint="eastAsia"/>
                <w:sz w:val="18"/>
                <w:szCs w:val="18"/>
              </w:rPr>
              <w:t>23-2008</w:t>
            </w:r>
            <w:r>
              <w:rPr>
                <w:rFonts w:ascii="宋体" w:hAnsi="宋体" w:hint="eastAsia"/>
                <w:sz w:val="18"/>
                <w:szCs w:val="18"/>
              </w:rPr>
              <w:t>新增</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非农民自然人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GS</w:t>
            </w:r>
            <w:r>
              <w:rPr>
                <w:rFonts w:ascii="宋体" w:hAnsi="宋体"/>
                <w:sz w:val="18"/>
                <w:szCs w:val="18"/>
              </w:rPr>
              <w:t xml:space="preserve"> </w:t>
            </w:r>
            <w:r>
              <w:rPr>
                <w:rFonts w:ascii="宋体" w:hAnsi="宋体" w:hint="eastAsia"/>
                <w:sz w:val="18"/>
                <w:szCs w:val="18"/>
              </w:rPr>
              <w:t>23-2008</w:t>
            </w:r>
            <w:r>
              <w:rPr>
                <w:rFonts w:ascii="宋体" w:hAnsi="宋体" w:hint="eastAsia"/>
                <w:sz w:val="18"/>
                <w:szCs w:val="18"/>
              </w:rPr>
              <w:t>新增</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投资者</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企业</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w:t>
            </w:r>
            <w:r>
              <w:rPr>
                <w:rFonts w:ascii="宋体" w:hAnsi="宋体" w:hint="eastAsia"/>
                <w:sz w:val="18"/>
                <w:szCs w:val="18"/>
              </w:rPr>
              <w:t>(</w:t>
            </w:r>
            <w:r>
              <w:rPr>
                <w:rFonts w:ascii="宋体" w:hAnsi="宋体" w:hint="eastAsia"/>
                <w:sz w:val="18"/>
                <w:szCs w:val="18"/>
              </w:rPr>
              <w:t>地区</w:t>
            </w:r>
            <w:r>
              <w:rPr>
                <w:rFonts w:ascii="宋体" w:hAnsi="宋体" w:hint="eastAsia"/>
                <w:sz w:val="18"/>
                <w:szCs w:val="18"/>
              </w:rPr>
              <w:t>)</w:t>
            </w:r>
            <w:r>
              <w:rPr>
                <w:rFonts w:ascii="宋体" w:hAnsi="宋体" w:hint="eastAsia"/>
                <w:sz w:val="18"/>
                <w:szCs w:val="18"/>
              </w:rPr>
              <w:t>经济组织</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w:t>
            </w:r>
            <w:proofErr w:type="gramStart"/>
            <w:r>
              <w:rPr>
                <w:rFonts w:ascii="宋体" w:hAnsi="宋体" w:hint="eastAsia"/>
                <w:sz w:val="18"/>
                <w:szCs w:val="18"/>
              </w:rPr>
              <w:t>投资投资</w:t>
            </w:r>
            <w:proofErr w:type="gramEnd"/>
            <w:r>
              <w:rPr>
                <w:rFonts w:ascii="宋体" w:hAnsi="宋体" w:hint="eastAsia"/>
                <w:sz w:val="18"/>
                <w:szCs w:val="18"/>
              </w:rPr>
              <w:t>性公司</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34</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外商投资创业投资企业</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35</w:t>
            </w:r>
          </w:p>
        </w:tc>
        <w:tc>
          <w:tcPr>
            <w:tcW w:w="353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外国（地区）自然人</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36</w:t>
            </w:r>
          </w:p>
        </w:tc>
        <w:tc>
          <w:tcPr>
            <w:tcW w:w="3530"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华侨</w:t>
            </w:r>
          </w:p>
        </w:tc>
        <w:tc>
          <w:tcPr>
            <w:tcW w:w="86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w:t>
            </w:r>
          </w:p>
        </w:tc>
        <w:tc>
          <w:tcPr>
            <w:tcW w:w="3530"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合伙企业</w:t>
            </w:r>
          </w:p>
        </w:tc>
        <w:tc>
          <w:tcPr>
            <w:tcW w:w="86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A.6  </w:t>
      </w:r>
      <w:r>
        <w:rPr>
          <w:rFonts w:ascii="黑体" w:eastAsia="黑体" w:hAnsi="黑体" w:hint="eastAsia"/>
        </w:rPr>
        <w:t>投资人类型代码表</w:t>
      </w:r>
      <w:r>
        <w:rPr>
          <w:rFonts w:hAnsi="宋体" w:hint="eastAsia"/>
        </w:rPr>
        <w:t>（续）</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41</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内资合伙企业</w:t>
            </w:r>
          </w:p>
        </w:tc>
        <w:tc>
          <w:tcPr>
            <w:tcW w:w="868"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GS</w:t>
            </w:r>
            <w:r>
              <w:rPr>
                <w:rFonts w:ascii="宋体" w:hAnsi="宋体"/>
                <w:sz w:val="18"/>
                <w:szCs w:val="18"/>
              </w:rPr>
              <w:t xml:space="preserve"> </w:t>
            </w:r>
            <w:r>
              <w:rPr>
                <w:rFonts w:ascii="宋体" w:hAnsi="宋体" w:hint="eastAsia"/>
                <w:sz w:val="18"/>
                <w:szCs w:val="18"/>
              </w:rPr>
              <w:t>1-2007</w:t>
            </w:r>
            <w:r>
              <w:rPr>
                <w:rFonts w:ascii="宋体" w:hAnsi="宋体" w:hint="eastAsia"/>
                <w:sz w:val="18"/>
                <w:szCs w:val="18"/>
              </w:rPr>
              <w:t>新增</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外商投资合伙企业</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GS</w:t>
            </w:r>
            <w:r>
              <w:rPr>
                <w:rFonts w:ascii="宋体" w:hAnsi="宋体"/>
                <w:sz w:val="18"/>
                <w:szCs w:val="18"/>
              </w:rPr>
              <w:t xml:space="preserve"> </w:t>
            </w:r>
            <w:r>
              <w:rPr>
                <w:rFonts w:ascii="宋体" w:hAnsi="宋体" w:hint="eastAsia"/>
                <w:sz w:val="18"/>
                <w:szCs w:val="18"/>
              </w:rPr>
              <w:t>1-2007</w:t>
            </w:r>
            <w:r>
              <w:rPr>
                <w:rFonts w:ascii="宋体" w:hAnsi="宋体" w:hint="eastAsia"/>
                <w:sz w:val="18"/>
                <w:szCs w:val="18"/>
              </w:rPr>
              <w:t>新增</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其他投资者</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pPr>
        <w:pStyle w:val="aff"/>
        <w:spacing w:before="156" w:after="156"/>
      </w:pPr>
      <w:r>
        <w:rPr>
          <w:rFonts w:hint="eastAsia"/>
        </w:rPr>
        <w:t xml:space="preserve"> </w:t>
      </w:r>
      <w:r>
        <w:rPr>
          <w:rFonts w:hint="eastAsia"/>
        </w:rPr>
        <w:t>许可文件状态代码表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有效</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过期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被撤销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被吊销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被注销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组成形式代码表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2"/>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个人经营</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家庭经营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申请方式代码表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到登记场所直接申请</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邮寄</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通过信函方式</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传真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电子数据交换</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电子邮件</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电传</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证件类型代码表</w:t>
      </w:r>
    </w:p>
    <w:tbl>
      <w:tblPr>
        <w:tblStyle w:val="affff7"/>
        <w:tblW w:w="4991"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8"/>
        <w:gridCol w:w="6573"/>
        <w:gridCol w:w="1616"/>
      </w:tblGrid>
      <w:tr w:rsidR="00C34A8A">
        <w:trPr>
          <w:trHeight w:val="317"/>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中华人民共和国居民身份证</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中华人民共和国军官证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中华人民共和国警官证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外国（地区）护照</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香港特别行政区护照</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52</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香港（永久性）居民身份证</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53</w:t>
            </w:r>
          </w:p>
        </w:tc>
        <w:tc>
          <w:tcPr>
            <w:tcW w:w="353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澳门特别行政区护照</w:t>
            </w:r>
          </w:p>
        </w:tc>
        <w:tc>
          <w:tcPr>
            <w:tcW w:w="86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A.10  </w:t>
      </w:r>
      <w:r>
        <w:rPr>
          <w:rFonts w:ascii="黑体" w:eastAsia="黑体" w:hAnsi="黑体" w:hint="eastAsia"/>
        </w:rPr>
        <w:t>证件类型代码表</w:t>
      </w:r>
      <w:r>
        <w:rPr>
          <w:rFonts w:hAnsi="宋体" w:hint="eastAsia"/>
        </w:rPr>
        <w:t>（续）</w:t>
      </w:r>
    </w:p>
    <w:tbl>
      <w:tblPr>
        <w:tblStyle w:val="affff7"/>
        <w:tblW w:w="4991"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8"/>
        <w:gridCol w:w="6573"/>
        <w:gridCol w:w="1616"/>
      </w:tblGrid>
      <w:tr w:rsidR="00C34A8A">
        <w:trPr>
          <w:trHeight w:val="317"/>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7"/>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54</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澳门（永久性）居民身份证</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55</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港澳居民来往内地通行证</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台湾居民身份证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台湾居民来往大陆通行证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台湾农民身份有关证明</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60</w:t>
            </w:r>
          </w:p>
        </w:tc>
        <w:tc>
          <w:tcPr>
            <w:tcW w:w="3531" w:type="pct"/>
            <w:shd w:val="clear" w:color="auto" w:fill="auto"/>
            <w:vAlign w:val="center"/>
          </w:tcPr>
          <w:p w:rsidR="00C34A8A" w:rsidRDefault="000870D8">
            <w:pPr>
              <w:spacing w:line="240" w:lineRule="auto"/>
              <w:jc w:val="center"/>
              <w:rPr>
                <w:rFonts w:ascii="宋体" w:hAnsi="宋体"/>
                <w:sz w:val="18"/>
                <w:szCs w:val="18"/>
              </w:rPr>
            </w:pPr>
            <w:r w:rsidRPr="000870D8">
              <w:rPr>
                <w:rFonts w:ascii="宋体" w:hAnsi="宋体" w:hint="eastAsia"/>
                <w:sz w:val="18"/>
                <w:szCs w:val="18"/>
              </w:rPr>
              <w:t>户口簿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7"/>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其他有效身份证件</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职务产生方式代码表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任命</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委派</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选举</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聘任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指定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直销人员类型代码表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2"/>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企业职工（不含本企业）</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社团组织或事业单位职工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个体工商户</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离退休人员</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无职业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传销人员类型代码表</w:t>
      </w:r>
    </w:p>
    <w:tbl>
      <w:tblPr>
        <w:tblStyle w:val="affff7"/>
        <w:tblW w:w="4976"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093"/>
        <w:gridCol w:w="6571"/>
        <w:gridCol w:w="1615"/>
      </w:tblGrid>
      <w:tr w:rsidR="00C34A8A">
        <w:trPr>
          <w:trHeight w:val="318"/>
          <w:tblHeader/>
          <w:jc w:val="center"/>
        </w:trPr>
        <w:tc>
          <w:tcPr>
            <w:tcW w:w="58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4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8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4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传销组织者</w:t>
            </w:r>
          </w:p>
        </w:tc>
        <w:tc>
          <w:tcPr>
            <w:tcW w:w="870"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8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4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传销策划者</w:t>
            </w:r>
          </w:p>
        </w:tc>
        <w:tc>
          <w:tcPr>
            <w:tcW w:w="870"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8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4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传销骨干分子</w:t>
            </w:r>
          </w:p>
        </w:tc>
        <w:tc>
          <w:tcPr>
            <w:tcW w:w="870"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8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4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70"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广告经营单位类型代码表</w:t>
      </w:r>
    </w:p>
    <w:tbl>
      <w:tblPr>
        <w:tblW w:w="498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4"/>
        <w:gridCol w:w="6572"/>
        <w:gridCol w:w="1617"/>
      </w:tblGrid>
      <w:tr w:rsidR="00C34A8A">
        <w:trPr>
          <w:trHeight w:val="318"/>
        </w:trPr>
        <w:tc>
          <w:tcPr>
            <w:tcW w:w="599"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trPr>
        <w:tc>
          <w:tcPr>
            <w:tcW w:w="599" w:type="pct"/>
            <w:tcBorders>
              <w:top w:val="single" w:sz="12" w:space="0" w:color="auto"/>
              <w:bottom w:val="single" w:sz="4" w:space="0" w:color="auto"/>
            </w:tcBorders>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tcBorders>
              <w:top w:val="single" w:sz="12" w:space="0" w:color="auto"/>
              <w:bottom w:val="single" w:sz="4"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广播电台</w:t>
            </w:r>
          </w:p>
        </w:tc>
        <w:tc>
          <w:tcPr>
            <w:tcW w:w="869" w:type="pct"/>
            <w:tcBorders>
              <w:top w:val="single" w:sz="12" w:space="0" w:color="auto"/>
              <w:bottom w:val="single" w:sz="4" w:space="0" w:color="auto"/>
            </w:tcBorders>
          </w:tcPr>
          <w:p w:rsidR="00C34A8A" w:rsidRDefault="00FD5D49">
            <w:pPr>
              <w:pStyle w:val="afffffffff9"/>
              <w:rPr>
                <w:rFonts w:hAnsi="宋体"/>
                <w:szCs w:val="18"/>
              </w:rPr>
            </w:pPr>
            <w:r>
              <w:rPr>
                <w:rFonts w:hAnsi="宋体" w:hint="eastAsia"/>
                <w:szCs w:val="18"/>
              </w:rPr>
              <w:t>-</w:t>
            </w:r>
          </w:p>
        </w:tc>
      </w:tr>
      <w:tr w:rsidR="00C34A8A">
        <w:trPr>
          <w:trHeight w:val="318"/>
        </w:trPr>
        <w:tc>
          <w:tcPr>
            <w:tcW w:w="599" w:type="pct"/>
            <w:tcBorders>
              <w:top w:val="single" w:sz="4"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tcBorders>
              <w:top w:val="single" w:sz="4"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电视台</w:t>
            </w:r>
          </w:p>
        </w:tc>
        <w:tc>
          <w:tcPr>
            <w:tcW w:w="869" w:type="pct"/>
            <w:tcBorders>
              <w:top w:val="single" w:sz="4" w:space="0" w:color="auto"/>
              <w:bottom w:val="single" w:sz="12" w:space="0" w:color="auto"/>
            </w:tcBorders>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A.14  </w:t>
      </w:r>
      <w:r>
        <w:rPr>
          <w:rFonts w:ascii="黑体" w:eastAsia="黑体" w:hAnsi="黑体" w:hint="eastAsia"/>
        </w:rPr>
        <w:t>广告经营单位类型代码表</w:t>
      </w:r>
      <w:r>
        <w:rPr>
          <w:rFonts w:hAnsi="宋体" w:hint="eastAsia"/>
        </w:rPr>
        <w:t>（续）</w:t>
      </w:r>
    </w:p>
    <w:tbl>
      <w:tblPr>
        <w:tblW w:w="498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4"/>
        <w:gridCol w:w="6572"/>
        <w:gridCol w:w="1617"/>
      </w:tblGrid>
      <w:tr w:rsidR="00C34A8A">
        <w:trPr>
          <w:trHeight w:val="318"/>
        </w:trPr>
        <w:tc>
          <w:tcPr>
            <w:tcW w:w="599"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trPr>
        <w:tc>
          <w:tcPr>
            <w:tcW w:w="599" w:type="pct"/>
            <w:tcBorders>
              <w:top w:val="single" w:sz="4" w:space="0" w:color="auto"/>
              <w:bottom w:val="single" w:sz="4" w:space="0" w:color="auto"/>
            </w:tcBorders>
            <w:shd w:val="clear" w:color="auto" w:fill="auto"/>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tcBorders>
              <w:top w:val="single" w:sz="4" w:space="0" w:color="auto"/>
              <w:bottom w:val="single" w:sz="4" w:space="0" w:color="auto"/>
            </w:tcBorders>
            <w:shd w:val="clear" w:color="auto" w:fill="auto"/>
          </w:tcPr>
          <w:p w:rsidR="00C34A8A" w:rsidRDefault="00FD5D49">
            <w:pPr>
              <w:spacing w:line="240" w:lineRule="auto"/>
              <w:jc w:val="center"/>
              <w:rPr>
                <w:rFonts w:ascii="宋体" w:hAnsi="宋体"/>
                <w:sz w:val="18"/>
                <w:szCs w:val="18"/>
              </w:rPr>
            </w:pPr>
            <w:r>
              <w:rPr>
                <w:rFonts w:ascii="宋体" w:hAnsi="宋体" w:hint="eastAsia"/>
                <w:sz w:val="18"/>
                <w:szCs w:val="18"/>
              </w:rPr>
              <w:t>报社</w:t>
            </w:r>
          </w:p>
        </w:tc>
        <w:tc>
          <w:tcPr>
            <w:tcW w:w="869" w:type="pct"/>
            <w:tcBorders>
              <w:top w:val="single" w:sz="4" w:space="0" w:color="auto"/>
              <w:bottom w:val="single" w:sz="4" w:space="0" w:color="auto"/>
            </w:tcBorders>
            <w:shd w:val="clear" w:color="auto" w:fill="auto"/>
          </w:tcPr>
          <w:p w:rsidR="00C34A8A" w:rsidRDefault="00FD5D49">
            <w:pPr>
              <w:pStyle w:val="afffffffff9"/>
              <w:rPr>
                <w:rFonts w:hAnsi="宋体"/>
                <w:szCs w:val="18"/>
              </w:rPr>
            </w:pPr>
            <w:r>
              <w:rPr>
                <w:rFonts w:hAnsi="宋体" w:hint="eastAsia"/>
                <w:szCs w:val="18"/>
              </w:rPr>
              <w:t>-</w:t>
            </w:r>
          </w:p>
        </w:tc>
      </w:tr>
      <w:tr w:rsidR="00C34A8A">
        <w:trPr>
          <w:trHeight w:val="318"/>
        </w:trPr>
        <w:tc>
          <w:tcPr>
            <w:tcW w:w="599" w:type="pct"/>
            <w:tcBorders>
              <w:top w:val="single" w:sz="4" w:space="0" w:color="auto"/>
            </w:tcBorders>
          </w:tcPr>
          <w:p w:rsidR="00C34A8A" w:rsidRDefault="00FD5D49">
            <w:pPr>
              <w:spacing w:line="240" w:lineRule="auto"/>
              <w:jc w:val="center"/>
              <w:rPr>
                <w:rFonts w:ascii="宋体" w:hAnsi="宋体"/>
                <w:sz w:val="18"/>
                <w:szCs w:val="18"/>
              </w:rPr>
            </w:pPr>
            <w:r>
              <w:rPr>
                <w:rFonts w:ascii="宋体" w:hAnsi="宋体"/>
                <w:sz w:val="18"/>
                <w:szCs w:val="18"/>
              </w:rPr>
              <w:t>4</w:t>
            </w:r>
          </w:p>
        </w:tc>
        <w:tc>
          <w:tcPr>
            <w:tcW w:w="3532" w:type="pct"/>
            <w:tcBorders>
              <w:top w:val="single" w:sz="4"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出版社</w:t>
            </w:r>
          </w:p>
        </w:tc>
        <w:tc>
          <w:tcPr>
            <w:tcW w:w="869" w:type="pct"/>
            <w:tcBorders>
              <w:top w:val="single" w:sz="4" w:space="0" w:color="auto"/>
            </w:tcBorders>
          </w:tcPr>
          <w:p w:rsidR="00C34A8A" w:rsidRDefault="00FD5D49">
            <w:pPr>
              <w:pStyle w:val="afffffffff9"/>
              <w:rPr>
                <w:rFonts w:hAnsi="宋体"/>
                <w:szCs w:val="18"/>
              </w:rPr>
            </w:pPr>
            <w:r>
              <w:rPr>
                <w:rFonts w:hAnsi="宋体" w:hint="eastAsia"/>
                <w:szCs w:val="18"/>
              </w:rPr>
              <w:t>-</w:t>
            </w:r>
          </w:p>
        </w:tc>
      </w:tr>
      <w:tr w:rsidR="00C34A8A">
        <w:trPr>
          <w:trHeight w:val="318"/>
        </w:trPr>
        <w:tc>
          <w:tcPr>
            <w:tcW w:w="599" w:type="pct"/>
          </w:tcPr>
          <w:p w:rsidR="00C34A8A" w:rsidRDefault="00FD5D49">
            <w:pPr>
              <w:spacing w:line="240" w:lineRule="auto"/>
              <w:jc w:val="center"/>
              <w:rPr>
                <w:rFonts w:ascii="宋体" w:hAnsi="宋体"/>
                <w:sz w:val="18"/>
                <w:szCs w:val="18"/>
              </w:rPr>
            </w:pPr>
            <w:r>
              <w:rPr>
                <w:rFonts w:ascii="宋体" w:hAnsi="宋体"/>
                <w:sz w:val="18"/>
                <w:szCs w:val="18"/>
              </w:rPr>
              <w:t>5</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期刊社</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599" w:type="pct"/>
          </w:tcPr>
          <w:p w:rsidR="00C34A8A" w:rsidRDefault="00FD5D49">
            <w:pPr>
              <w:spacing w:line="240" w:lineRule="auto"/>
              <w:jc w:val="center"/>
              <w:rPr>
                <w:rFonts w:ascii="宋体" w:hAnsi="宋体"/>
                <w:sz w:val="18"/>
                <w:szCs w:val="18"/>
              </w:rPr>
            </w:pPr>
            <w:r>
              <w:rPr>
                <w:rFonts w:ascii="宋体" w:hAnsi="宋体"/>
                <w:sz w:val="18"/>
                <w:szCs w:val="18"/>
              </w:rPr>
              <w:t>9</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广告活动主体类型代码表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2"/>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广告发布者</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广告经营者</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广告内容类别代码表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0"/>
        <w:gridCol w:w="1617"/>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药品类</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医疗器械类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化妆品类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房地产类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普通食品类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保健食品类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烟草类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酒类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电器类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交通产品类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知识产品类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普通商品类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金融服务类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信息服务类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互联网服务类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商业招商投资类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教育培训服务类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会展文体活动服务类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普通服务类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形象宣传类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非商业类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fff5"/>
        <w:ind w:firstLine="420"/>
      </w:pPr>
      <w:r>
        <w:rPr>
          <w:rFonts w:hint="eastAsia"/>
        </w:rPr>
        <w:t xml:space="preserve"> </w:t>
      </w:r>
    </w:p>
    <w:p w:rsidR="00C34A8A" w:rsidRDefault="00FD5D49">
      <w:pPr>
        <w:pStyle w:val="aff"/>
        <w:spacing w:before="156" w:after="156"/>
      </w:pPr>
      <w:r>
        <w:rPr>
          <w:rFonts w:hint="eastAsia"/>
        </w:rPr>
        <w:lastRenderedPageBreak/>
        <w:t>广告经营单位性质代码表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0"/>
        <w:gridCol w:w="1617"/>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国有企业</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集体企业</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私营企业</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内资公司（非私营）</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外商投资企业</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个体工商户</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事业单位</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广告媒介代码表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电视</w:t>
            </w:r>
          </w:p>
        </w:tc>
        <w:tc>
          <w:tcPr>
            <w:tcW w:w="868"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含移动电视</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省级频道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010101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卫视频道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010102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市级频道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010201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新闻频道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010202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县级频道</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广播</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报纸</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党报</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都市报</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专业报</w:t>
            </w:r>
          </w:p>
        </w:tc>
        <w:tc>
          <w:tcPr>
            <w:tcW w:w="868" w:type="pct"/>
            <w:shd w:val="clear" w:color="auto" w:fill="auto"/>
            <w:vAlign w:val="center"/>
          </w:tcPr>
          <w:p w:rsidR="00C34A8A" w:rsidRDefault="00FD5D49">
            <w:pPr>
              <w:spacing w:line="240" w:lineRule="auto"/>
              <w:jc w:val="center"/>
              <w:rPr>
                <w:rFonts w:ascii="宋体" w:hAnsi="宋体"/>
                <w:sz w:val="18"/>
                <w:szCs w:val="18"/>
              </w:rPr>
            </w:pPr>
            <w:proofErr w:type="gramStart"/>
            <w:r>
              <w:rPr>
                <w:rFonts w:ascii="宋体" w:hAnsi="宋体" w:hint="eastAsia"/>
                <w:sz w:val="18"/>
                <w:szCs w:val="18"/>
              </w:rPr>
              <w:t>含行业报</w:t>
            </w:r>
            <w:proofErr w:type="gramEnd"/>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期刊</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户外</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展示牌</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电子显示装置</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灯箱</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霓虹灯</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交通工具</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水上漂浮物</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热气球等脱离地面的</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升空器具</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不脱离地面的</w:t>
            </w:r>
          </w:p>
        </w:tc>
      </w:tr>
      <w:tr w:rsidR="00C34A8A">
        <w:trPr>
          <w:trHeight w:val="318"/>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0508</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充气物</w:t>
            </w:r>
          </w:p>
        </w:tc>
        <w:tc>
          <w:tcPr>
            <w:tcW w:w="868"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0509</w:t>
            </w:r>
          </w:p>
        </w:tc>
        <w:tc>
          <w:tcPr>
            <w:tcW w:w="353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模型</w:t>
            </w:r>
          </w:p>
        </w:tc>
        <w:tc>
          <w:tcPr>
            <w:tcW w:w="868"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A.18  </w:t>
      </w:r>
      <w:r>
        <w:rPr>
          <w:rFonts w:ascii="黑体" w:eastAsia="黑体" w:hAnsi="黑体" w:hint="eastAsia"/>
        </w:rPr>
        <w:t>广告媒介代码表</w:t>
      </w:r>
      <w:r>
        <w:rPr>
          <w:rFonts w:hAnsi="宋体" w:hint="eastAsia"/>
        </w:rPr>
        <w:t>（续）</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0510</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印刷品</w:t>
            </w:r>
          </w:p>
        </w:tc>
        <w:tc>
          <w:tcPr>
            <w:tcW w:w="868"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固定形式印刷品</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电影</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楼宇电视</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移动通信</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基于移动通信运营商的平台发布的广告</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互联网</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综合（门户）网站</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含导航网站</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电子商务网站</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1303</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搜索网站</w:t>
            </w:r>
          </w:p>
        </w:tc>
        <w:tc>
          <w:tcPr>
            <w:tcW w:w="868"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1304</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视频网站</w:t>
            </w:r>
          </w:p>
        </w:tc>
        <w:tc>
          <w:tcPr>
            <w:tcW w:w="868"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1305</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其他网站</w:t>
            </w:r>
          </w:p>
        </w:tc>
        <w:tc>
          <w:tcPr>
            <w:tcW w:w="868"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其他媒介</w:t>
            </w:r>
          </w:p>
        </w:tc>
        <w:tc>
          <w:tcPr>
            <w:tcW w:w="86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w:t>
            </w:r>
          </w:p>
        </w:tc>
      </w:tr>
    </w:tbl>
    <w:p w:rsidR="00C34A8A" w:rsidRDefault="00FD5D49">
      <w:pPr>
        <w:pStyle w:val="aff"/>
        <w:spacing w:before="156" w:after="156"/>
      </w:pPr>
      <w:r>
        <w:rPr>
          <w:rFonts w:hint="eastAsia"/>
        </w:rPr>
        <w:t xml:space="preserve"> </w:t>
      </w:r>
      <w:r>
        <w:rPr>
          <w:rFonts w:hint="eastAsia"/>
        </w:rPr>
        <w:t>广告形式代码表</w:t>
      </w:r>
    </w:p>
    <w:tbl>
      <w:tblPr>
        <w:tblStyle w:val="affff7"/>
        <w:tblW w:w="4876"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086"/>
        <w:gridCol w:w="6392"/>
        <w:gridCol w:w="1615"/>
      </w:tblGrid>
      <w:tr w:rsidR="00C34A8A">
        <w:trPr>
          <w:trHeight w:val="318"/>
          <w:tblHeader/>
          <w:jc w:val="center"/>
        </w:trPr>
        <w:tc>
          <w:tcPr>
            <w:tcW w:w="597"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15"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8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7"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15"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展示牌</w:t>
            </w:r>
          </w:p>
        </w:tc>
        <w:tc>
          <w:tcPr>
            <w:tcW w:w="88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电子显示装置</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灯箱</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霓虹灯</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交通工具</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水上漂浮物</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升空器具</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充气物</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模型</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7"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3515"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8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广告从业人员类型代码表</w:t>
      </w:r>
    </w:p>
    <w:tbl>
      <w:tblPr>
        <w:tblStyle w:val="affff7"/>
        <w:tblW w:w="4877"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088"/>
        <w:gridCol w:w="6392"/>
        <w:gridCol w:w="1615"/>
      </w:tblGrid>
      <w:tr w:rsidR="00C34A8A">
        <w:trPr>
          <w:trHeight w:val="318"/>
          <w:tblHeader/>
          <w:jc w:val="center"/>
        </w:trPr>
        <w:tc>
          <w:tcPr>
            <w:tcW w:w="59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14"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8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8"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14"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管理人员</w:t>
            </w:r>
          </w:p>
        </w:tc>
        <w:tc>
          <w:tcPr>
            <w:tcW w:w="88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1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业务人员</w:t>
            </w:r>
          </w:p>
        </w:tc>
        <w:tc>
          <w:tcPr>
            <w:tcW w:w="88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1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创意设计人员</w:t>
            </w:r>
          </w:p>
        </w:tc>
        <w:tc>
          <w:tcPr>
            <w:tcW w:w="88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8"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90</w:t>
            </w:r>
          </w:p>
        </w:tc>
        <w:tc>
          <w:tcPr>
            <w:tcW w:w="3514"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其他人员</w:t>
            </w:r>
          </w:p>
        </w:tc>
        <w:tc>
          <w:tcPr>
            <w:tcW w:w="88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C34A8A">
      <w:pPr>
        <w:pStyle w:val="afffff5"/>
        <w:ind w:firstLine="420"/>
      </w:pPr>
    </w:p>
    <w:p w:rsidR="00C34A8A" w:rsidRDefault="00C34A8A">
      <w:pPr>
        <w:pStyle w:val="afffff5"/>
        <w:ind w:firstLine="420"/>
      </w:pPr>
    </w:p>
    <w:p w:rsidR="00C34A8A" w:rsidRDefault="00FD5D49">
      <w:pPr>
        <w:pStyle w:val="aff"/>
        <w:spacing w:before="156" w:after="156"/>
      </w:pPr>
      <w:r>
        <w:rPr>
          <w:rFonts w:hint="eastAsia"/>
        </w:rPr>
        <w:lastRenderedPageBreak/>
        <w:t xml:space="preserve"> </w:t>
      </w:r>
      <w:r>
        <w:rPr>
          <w:rFonts w:hint="eastAsia"/>
        </w:rPr>
        <w:t>处罚种类代码表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警告</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罚款</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没收违法所得和非法财物</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责令停业整顿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暂扣许可证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暂扣执照</w:t>
            </w:r>
            <w:r>
              <w:rPr>
                <w:rFonts w:ascii="宋体" w:hAnsi="宋体" w:hint="eastAsia"/>
                <w:sz w:val="18"/>
                <w:szCs w:val="18"/>
              </w:rPr>
              <w:t>(</w:t>
            </w:r>
            <w:r>
              <w:rPr>
                <w:rFonts w:ascii="宋体" w:hAnsi="宋体" w:hint="eastAsia"/>
                <w:sz w:val="18"/>
                <w:szCs w:val="18"/>
              </w:rPr>
              <w:t>登记证</w:t>
            </w:r>
            <w:r>
              <w:rPr>
                <w:rFonts w:ascii="宋体" w:hAnsi="宋体" w:hint="eastAsia"/>
                <w:sz w:val="18"/>
                <w:szCs w:val="18"/>
              </w:rPr>
              <w:t>)</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吊销许可证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吊销执照</w:t>
            </w:r>
            <w:r>
              <w:rPr>
                <w:rFonts w:ascii="宋体" w:hAnsi="宋体" w:hint="eastAsia"/>
                <w:sz w:val="18"/>
                <w:szCs w:val="18"/>
              </w:rPr>
              <w:t>(</w:t>
            </w:r>
            <w:r>
              <w:rPr>
                <w:rFonts w:ascii="宋体" w:hAnsi="宋体" w:hint="eastAsia"/>
                <w:sz w:val="18"/>
                <w:szCs w:val="18"/>
              </w:rPr>
              <w:t>登记证</w:t>
            </w:r>
            <w:r>
              <w:rPr>
                <w:rFonts w:ascii="宋体" w:hAnsi="宋体" w:hint="eastAsia"/>
                <w:sz w:val="18"/>
                <w:szCs w:val="18"/>
              </w:rPr>
              <w:t>)</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移送司法机关处理</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法律、法规规定的其他行政处罚方式</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处罚结果代码表</w:t>
      </w:r>
    </w:p>
    <w:tbl>
      <w:tblPr>
        <w:tblStyle w:val="affff7"/>
        <w:tblW w:w="500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20"/>
        <w:gridCol w:w="6585"/>
        <w:gridCol w:w="1619"/>
      </w:tblGrid>
      <w:tr w:rsidR="00C34A8A">
        <w:trPr>
          <w:trHeight w:val="320"/>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20"/>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警告</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责令消除影响</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罚款</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没收违法所得</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没收非法财物</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没收销货款</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责令停业整顿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暂扣许可证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吊销许可证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暂扣营业执照</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责令关闭</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吊销营业执照</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建议对直接责任人或主管领导予以行政处罚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移送司法机关</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没收专用工具</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收缴、销毁未使用的侵权包装装潢</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收缴并销毁侵权商标标识</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收缴模具、</w:t>
            </w:r>
            <w:proofErr w:type="gramStart"/>
            <w:r>
              <w:rPr>
                <w:rFonts w:ascii="宋体" w:hAnsi="宋体" w:hint="eastAsia"/>
                <w:sz w:val="18"/>
                <w:szCs w:val="18"/>
              </w:rPr>
              <w:t>印板</w:t>
            </w:r>
            <w:proofErr w:type="gramEnd"/>
            <w:r>
              <w:rPr>
                <w:rFonts w:ascii="宋体" w:hAnsi="宋体" w:hint="eastAsia"/>
                <w:sz w:val="18"/>
                <w:szCs w:val="18"/>
              </w:rPr>
              <w:t>和其他作案工具</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收缴伪造或涂改的《商标注册证》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停止广告发布</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责令公开更正</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责令停止违法行为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责令改正</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24</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撤销登记</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20"/>
          <w:jc w:val="center"/>
        </w:trPr>
        <w:tc>
          <w:tcPr>
            <w:tcW w:w="60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99</w:t>
            </w:r>
          </w:p>
        </w:tc>
        <w:tc>
          <w:tcPr>
            <w:tcW w:w="353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lastRenderedPageBreak/>
        <w:t xml:space="preserve"> </w:t>
      </w:r>
      <w:r>
        <w:rPr>
          <w:rFonts w:hint="eastAsia"/>
        </w:rPr>
        <w:t>人员身份代码</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2"/>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城镇</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农村</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港澳台同胞</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外藉</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军人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学生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调解结果代码表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达成调解协议</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协商和解</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撤回申诉</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终止调解</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侵权类型代码表</w:t>
      </w:r>
    </w:p>
    <w:tbl>
      <w:tblPr>
        <w:tblW w:w="498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6"/>
        <w:gridCol w:w="6572"/>
        <w:gridCol w:w="1615"/>
      </w:tblGrid>
      <w:tr w:rsidR="00C34A8A">
        <w:trPr>
          <w:trHeight w:val="318"/>
        </w:trPr>
        <w:tc>
          <w:tcPr>
            <w:tcW w:w="600"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trPr>
        <w:tc>
          <w:tcPr>
            <w:tcW w:w="600"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2"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安全权</w:t>
            </w:r>
          </w:p>
        </w:tc>
        <w:tc>
          <w:tcPr>
            <w:tcW w:w="869" w:type="pct"/>
            <w:tcBorders>
              <w:top w:val="single" w:sz="12" w:space="0" w:color="auto"/>
            </w:tcBorders>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知情权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选择权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公平交易权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求偿权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结社权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受教育权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受尊重权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监督权</w:t>
            </w:r>
          </w:p>
        </w:tc>
        <w:tc>
          <w:tcPr>
            <w:tcW w:w="869" w:type="pct"/>
          </w:tcPr>
          <w:p w:rsidR="00C34A8A" w:rsidRDefault="00FD5D49">
            <w:pPr>
              <w:pStyle w:val="afffffffff9"/>
              <w:rPr>
                <w:rFonts w:hAnsi="宋体"/>
                <w:szCs w:val="18"/>
              </w:rPr>
            </w:pPr>
            <w:r>
              <w:rPr>
                <w:rFonts w:hAnsi="宋体" w:hint="eastAsia"/>
                <w:szCs w:val="18"/>
              </w:rPr>
              <w:t>-</w:t>
            </w:r>
          </w:p>
        </w:tc>
      </w:tr>
      <w:tr w:rsidR="00C34A8A">
        <w:trPr>
          <w:trHeight w:val="318"/>
        </w:trPr>
        <w:tc>
          <w:tcPr>
            <w:tcW w:w="600" w:type="pct"/>
          </w:tcPr>
          <w:p w:rsidR="00C34A8A" w:rsidRDefault="00FD5D49">
            <w:pPr>
              <w:spacing w:line="240" w:lineRule="auto"/>
              <w:jc w:val="center"/>
              <w:rPr>
                <w:rFonts w:ascii="宋体" w:hAnsi="宋体"/>
                <w:sz w:val="18"/>
                <w:szCs w:val="18"/>
              </w:rPr>
            </w:pPr>
            <w:r>
              <w:rPr>
                <w:rFonts w:ascii="宋体" w:hAnsi="宋体"/>
                <w:sz w:val="18"/>
                <w:szCs w:val="18"/>
              </w:rPr>
              <w:t>99</w:t>
            </w:r>
          </w:p>
        </w:tc>
        <w:tc>
          <w:tcPr>
            <w:tcW w:w="3532" w:type="pct"/>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网站或网</w:t>
      </w:r>
      <w:proofErr w:type="gramStart"/>
      <w:r>
        <w:rPr>
          <w:rFonts w:hint="eastAsia"/>
        </w:rPr>
        <w:t>店类型</w:t>
      </w:r>
      <w:proofErr w:type="gramEnd"/>
      <w:r>
        <w:rPr>
          <w:rFonts w:hint="eastAsia"/>
        </w:rPr>
        <w:t>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网络交易平台</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信息类</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1"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w:t>
            </w:r>
            <w:proofErr w:type="gramStart"/>
            <w:r>
              <w:rPr>
                <w:rFonts w:ascii="宋体" w:hAnsi="宋体" w:hint="eastAsia"/>
                <w:sz w:val="18"/>
                <w:szCs w:val="18"/>
              </w:rPr>
              <w:t>兼信息</w:t>
            </w:r>
            <w:proofErr w:type="gramEnd"/>
          </w:p>
        </w:tc>
        <w:tc>
          <w:tcPr>
            <w:tcW w:w="86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A.26  </w:t>
      </w:r>
      <w:r>
        <w:rPr>
          <w:rFonts w:ascii="黑体" w:eastAsia="黑体" w:hAnsi="黑体" w:hint="eastAsia"/>
        </w:rPr>
        <w:t>网站或网</w:t>
      </w:r>
      <w:proofErr w:type="gramStart"/>
      <w:r>
        <w:rPr>
          <w:rFonts w:ascii="黑体" w:eastAsia="黑体" w:hAnsi="黑体" w:hint="eastAsia"/>
        </w:rPr>
        <w:t>店类型</w:t>
      </w:r>
      <w:proofErr w:type="gramEnd"/>
      <w:r>
        <w:rPr>
          <w:rFonts w:ascii="黑体" w:eastAsia="黑体" w:hAnsi="黑体" w:hint="eastAsia"/>
        </w:rPr>
        <w:t>代码表</w:t>
      </w:r>
      <w:r>
        <w:rPr>
          <w:rFonts w:hAnsi="宋体" w:hint="eastAsia"/>
        </w:rPr>
        <w:t>（续）</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自营网站</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proofErr w:type="gramStart"/>
            <w:r>
              <w:rPr>
                <w:rFonts w:hAnsi="宋体" w:hint="eastAsia"/>
                <w:szCs w:val="18"/>
              </w:rPr>
              <w:t>除网络</w:t>
            </w:r>
            <w:proofErr w:type="gramEnd"/>
            <w:r>
              <w:rPr>
                <w:rFonts w:hAnsi="宋体" w:hint="eastAsia"/>
                <w:szCs w:val="18"/>
              </w:rPr>
              <w:t>交易平台和网店以外的企业自建并用于自己从事网络商品交易及有关服务行为的网站</w:t>
            </w:r>
          </w:p>
        </w:tc>
      </w:tr>
      <w:tr w:rsidR="00C34A8A">
        <w:trPr>
          <w:trHeight w:val="318"/>
          <w:jc w:val="center"/>
        </w:trPr>
        <w:tc>
          <w:tcPr>
            <w:tcW w:w="60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交易类</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信息类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w:t>
            </w:r>
            <w:proofErr w:type="gramStart"/>
            <w:r>
              <w:rPr>
                <w:rFonts w:ascii="宋体" w:hAnsi="宋体" w:hint="eastAsia"/>
                <w:sz w:val="18"/>
                <w:szCs w:val="18"/>
              </w:rPr>
              <w:t>兼信息</w:t>
            </w:r>
            <w:proofErr w:type="gramEnd"/>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网店</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信息类</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交易</w:t>
            </w:r>
            <w:proofErr w:type="gramStart"/>
            <w:r>
              <w:rPr>
                <w:rFonts w:ascii="宋体" w:hAnsi="宋体" w:hint="eastAsia"/>
                <w:sz w:val="18"/>
                <w:szCs w:val="18"/>
              </w:rPr>
              <w:t>兼信息</w:t>
            </w:r>
            <w:proofErr w:type="gramEnd"/>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网站电子商务类型代码表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0"/>
        <w:gridCol w:w="1617"/>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B2B</w:t>
            </w:r>
          </w:p>
        </w:tc>
        <w:tc>
          <w:tcPr>
            <w:tcW w:w="86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企业对企业营销关系</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B2C</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企业对个人营销关系</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C2C</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个人对个人营销关系</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G2C</w:t>
            </w:r>
          </w:p>
        </w:tc>
        <w:tc>
          <w:tcPr>
            <w:tcW w:w="86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团购</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药品经营企业经营状态代码表</w:t>
      </w:r>
    </w:p>
    <w:tbl>
      <w:tblPr>
        <w:tblW w:w="499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19"/>
        <w:gridCol w:w="6571"/>
        <w:gridCol w:w="1615"/>
      </w:tblGrid>
      <w:tr w:rsidR="00C34A8A">
        <w:trPr>
          <w:trHeight w:val="321"/>
        </w:trPr>
        <w:tc>
          <w:tcPr>
            <w:tcW w:w="601"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21"/>
        </w:trPr>
        <w:tc>
          <w:tcPr>
            <w:tcW w:w="601"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tcPr>
          <w:p w:rsidR="00C34A8A" w:rsidRDefault="00FD5D49">
            <w:pPr>
              <w:spacing w:line="240" w:lineRule="auto"/>
              <w:jc w:val="center"/>
              <w:rPr>
                <w:rFonts w:ascii="宋体" w:hAnsi="宋体"/>
                <w:sz w:val="18"/>
                <w:szCs w:val="18"/>
              </w:rPr>
            </w:pPr>
            <w:r>
              <w:rPr>
                <w:rFonts w:ascii="宋体" w:hAnsi="宋体" w:hint="eastAsia"/>
                <w:sz w:val="18"/>
                <w:szCs w:val="18"/>
              </w:rPr>
              <w:t>在业</w:t>
            </w:r>
          </w:p>
        </w:tc>
        <w:tc>
          <w:tcPr>
            <w:tcW w:w="868" w:type="pct"/>
            <w:tcBorders>
              <w:top w:val="single" w:sz="12" w:space="0" w:color="auto"/>
            </w:tcBorders>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0101</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开业</w:t>
            </w:r>
            <w:r>
              <w:rPr>
                <w:rFonts w:ascii="宋体" w:hAnsi="宋体" w:hint="eastAsia"/>
                <w:sz w:val="18"/>
                <w:szCs w:val="18"/>
              </w:rPr>
              <w:t>/</w:t>
            </w:r>
            <w:r>
              <w:rPr>
                <w:rFonts w:ascii="宋体" w:hAnsi="宋体" w:hint="eastAsia"/>
                <w:sz w:val="18"/>
                <w:szCs w:val="18"/>
              </w:rPr>
              <w:t>正常经营</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0102</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清算</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0103</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筹建</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0104</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停业</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0105</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存续</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注销</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吊销，未注销</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迁出</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在业</w:t>
            </w:r>
            <w:r>
              <w:rPr>
                <w:rFonts w:ascii="宋体" w:hAnsi="宋体" w:hint="eastAsia"/>
                <w:sz w:val="18"/>
                <w:szCs w:val="18"/>
              </w:rPr>
              <w:t>(</w:t>
            </w:r>
            <w:r>
              <w:rPr>
                <w:rFonts w:ascii="宋体" w:hAnsi="宋体" w:hint="eastAsia"/>
                <w:sz w:val="18"/>
                <w:szCs w:val="18"/>
              </w:rPr>
              <w:t>停业</w:t>
            </w:r>
            <w:r>
              <w:rPr>
                <w:rFonts w:ascii="宋体" w:hAnsi="宋体" w:hint="eastAsia"/>
                <w:sz w:val="18"/>
                <w:szCs w:val="18"/>
              </w:rPr>
              <w:t>)</w:t>
            </w:r>
          </w:p>
        </w:tc>
        <w:tc>
          <w:tcPr>
            <w:tcW w:w="868" w:type="pct"/>
          </w:tcPr>
          <w:p w:rsidR="00C34A8A" w:rsidRDefault="00FD5D49">
            <w:pPr>
              <w:pStyle w:val="afffffffff9"/>
              <w:rPr>
                <w:rFonts w:hAnsi="宋体"/>
                <w:szCs w:val="18"/>
              </w:rPr>
            </w:pPr>
            <w:r>
              <w:rPr>
                <w:rFonts w:hAnsi="宋体" w:hint="eastAsia"/>
                <w:szCs w:val="18"/>
              </w:rPr>
              <w:t>-</w:t>
            </w:r>
          </w:p>
        </w:tc>
      </w:tr>
      <w:tr w:rsidR="00C34A8A">
        <w:trPr>
          <w:trHeight w:val="321"/>
        </w:trPr>
        <w:tc>
          <w:tcPr>
            <w:tcW w:w="601" w:type="pct"/>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tcPr>
          <w:p w:rsidR="00C34A8A" w:rsidRDefault="00FD5D49">
            <w:pPr>
              <w:spacing w:line="240" w:lineRule="auto"/>
              <w:jc w:val="center"/>
              <w:rPr>
                <w:rFonts w:ascii="宋体" w:hAnsi="宋体"/>
                <w:sz w:val="18"/>
                <w:szCs w:val="18"/>
              </w:rPr>
            </w:pPr>
            <w:r>
              <w:rPr>
                <w:rFonts w:ascii="宋体" w:hAnsi="宋体" w:hint="eastAsia"/>
                <w:sz w:val="18"/>
                <w:szCs w:val="18"/>
              </w:rPr>
              <w:t>吊销（小于</w:t>
            </w:r>
            <w:r>
              <w:rPr>
                <w:rFonts w:ascii="宋体" w:hAnsi="宋体" w:hint="eastAsia"/>
                <w:sz w:val="18"/>
                <w:szCs w:val="18"/>
              </w:rPr>
              <w:t>2004</w:t>
            </w:r>
            <w:r>
              <w:rPr>
                <w:rFonts w:ascii="宋体" w:hAnsi="宋体" w:hint="eastAsia"/>
                <w:sz w:val="18"/>
                <w:szCs w:val="18"/>
              </w:rPr>
              <w:t>年</w:t>
            </w:r>
            <w:r>
              <w:rPr>
                <w:rFonts w:ascii="宋体" w:hAnsi="宋体" w:hint="eastAsia"/>
                <w:sz w:val="18"/>
                <w:szCs w:val="18"/>
              </w:rPr>
              <w:t>7</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w:t>
            </w:r>
          </w:p>
        </w:tc>
        <w:tc>
          <w:tcPr>
            <w:tcW w:w="868" w:type="pct"/>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lastRenderedPageBreak/>
        <w:t xml:space="preserve"> </w:t>
      </w:r>
      <w:r>
        <w:rPr>
          <w:rFonts w:hint="eastAsia"/>
        </w:rPr>
        <w:t>药品经营企业许可证状态代码表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Y</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有效</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E</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过期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医疗器械经营企业经营方式代码表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2"/>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零售</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连锁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专卖店</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药店兼营</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隐形眼镜</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其它</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批发</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批零兼营</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医疗器械经营</w:t>
      </w:r>
      <w:proofErr w:type="gramStart"/>
      <w:r>
        <w:rPr>
          <w:rFonts w:hint="eastAsia"/>
        </w:rPr>
        <w:t>企业企业</w:t>
      </w:r>
      <w:proofErr w:type="gramEnd"/>
      <w:r>
        <w:rPr>
          <w:rFonts w:hint="eastAsia"/>
        </w:rPr>
        <w:t>状态代码表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2"/>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Y</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有效</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E</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过期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医疗器械经营企业经营状态代码表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在业</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开业</w:t>
            </w:r>
            <w:r>
              <w:rPr>
                <w:rFonts w:ascii="宋体" w:hAnsi="宋体" w:hint="eastAsia"/>
                <w:sz w:val="18"/>
                <w:szCs w:val="18"/>
              </w:rPr>
              <w:t>/</w:t>
            </w:r>
            <w:r>
              <w:rPr>
                <w:rFonts w:ascii="宋体" w:hAnsi="宋体" w:hint="eastAsia"/>
                <w:sz w:val="18"/>
                <w:szCs w:val="18"/>
              </w:rPr>
              <w:t>正常经营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清算</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筹建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停业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存续</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吊销，未注销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迁出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在业</w:t>
            </w:r>
            <w:r>
              <w:rPr>
                <w:rFonts w:ascii="宋体" w:hAnsi="宋体" w:hint="eastAsia"/>
                <w:sz w:val="18"/>
                <w:szCs w:val="18"/>
              </w:rPr>
              <w:t>(</w:t>
            </w:r>
            <w:r>
              <w:rPr>
                <w:rFonts w:ascii="宋体" w:hAnsi="宋体" w:hint="eastAsia"/>
                <w:sz w:val="18"/>
                <w:szCs w:val="18"/>
              </w:rPr>
              <w:t>停业</w:t>
            </w:r>
            <w:r>
              <w:rPr>
                <w:rFonts w:ascii="宋体" w:hAnsi="宋体" w:hint="eastAsia"/>
                <w:sz w:val="18"/>
                <w:szCs w:val="18"/>
              </w:rPr>
              <w:t>)</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吊销（小于</w:t>
            </w:r>
            <w:r>
              <w:rPr>
                <w:rFonts w:ascii="宋体" w:hAnsi="宋体" w:hint="eastAsia"/>
                <w:sz w:val="18"/>
                <w:szCs w:val="18"/>
              </w:rPr>
              <w:t>2004</w:t>
            </w:r>
            <w:r>
              <w:rPr>
                <w:rFonts w:ascii="宋体" w:hAnsi="宋体" w:hint="eastAsia"/>
                <w:sz w:val="18"/>
                <w:szCs w:val="18"/>
              </w:rPr>
              <w:t>年</w:t>
            </w:r>
            <w:r>
              <w:rPr>
                <w:rFonts w:ascii="宋体" w:hAnsi="宋体" w:hint="eastAsia"/>
                <w:sz w:val="18"/>
                <w:szCs w:val="18"/>
              </w:rPr>
              <w:t>7</w:t>
            </w:r>
            <w:r>
              <w:rPr>
                <w:rFonts w:ascii="宋体" w:hAnsi="宋体" w:hint="eastAsia"/>
                <w:sz w:val="18"/>
                <w:szCs w:val="18"/>
              </w:rPr>
              <w:t>月</w:t>
            </w:r>
            <w:r>
              <w:rPr>
                <w:rFonts w:ascii="宋体" w:hAnsi="宋体" w:hint="eastAsia"/>
                <w:sz w:val="18"/>
                <w:szCs w:val="18"/>
              </w:rPr>
              <w:t>1</w:t>
            </w:r>
            <w:r>
              <w:rPr>
                <w:rFonts w:ascii="宋体" w:hAnsi="宋体" w:hint="eastAsia"/>
                <w:sz w:val="18"/>
                <w:szCs w:val="18"/>
              </w:rPr>
              <w:t>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fff5"/>
        <w:ind w:firstLine="420"/>
      </w:pPr>
      <w:r>
        <w:rPr>
          <w:rFonts w:hint="eastAsia"/>
        </w:rPr>
        <w:t xml:space="preserve"> </w:t>
      </w:r>
    </w:p>
    <w:p w:rsidR="00C34A8A" w:rsidRDefault="00C34A8A">
      <w:pPr>
        <w:pStyle w:val="afffff5"/>
        <w:ind w:firstLine="420"/>
      </w:pPr>
    </w:p>
    <w:p w:rsidR="00C34A8A" w:rsidRDefault="00C34A8A">
      <w:pPr>
        <w:pStyle w:val="afffff5"/>
        <w:ind w:firstLine="420"/>
      </w:pPr>
    </w:p>
    <w:p w:rsidR="00C34A8A" w:rsidRDefault="00C34A8A">
      <w:pPr>
        <w:pStyle w:val="afffff5"/>
        <w:ind w:firstLine="420"/>
      </w:pPr>
    </w:p>
    <w:p w:rsidR="00C34A8A" w:rsidRDefault="00FD5D49">
      <w:pPr>
        <w:pStyle w:val="aff"/>
        <w:spacing w:before="156" w:after="156" w:line="240" w:lineRule="exact"/>
      </w:pPr>
      <w:r>
        <w:rPr>
          <w:rFonts w:hint="eastAsia"/>
        </w:rPr>
        <w:lastRenderedPageBreak/>
        <w:t>食品生产许可证发证类型代码表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新发</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延续</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变更</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补领</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注销</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exact"/>
      </w:pPr>
      <w:r>
        <w:rPr>
          <w:rFonts w:hint="eastAsia"/>
        </w:rPr>
        <w:t xml:space="preserve"> </w:t>
      </w:r>
      <w:r>
        <w:rPr>
          <w:rFonts w:hint="eastAsia"/>
        </w:rPr>
        <w:t>食品生产许可证资质状态代码表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有效</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暂停</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失效</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exact"/>
      </w:pPr>
      <w:r>
        <w:rPr>
          <w:rFonts w:hint="eastAsia"/>
        </w:rPr>
        <w:t xml:space="preserve"> </w:t>
      </w:r>
      <w:r>
        <w:rPr>
          <w:rFonts w:hint="eastAsia"/>
        </w:rPr>
        <w:t>食品经营</w:t>
      </w:r>
      <w:proofErr w:type="gramStart"/>
      <w:r>
        <w:rPr>
          <w:rFonts w:hint="eastAsia"/>
        </w:rPr>
        <w:t>主体主体</w:t>
      </w:r>
      <w:proofErr w:type="gramEnd"/>
      <w:r>
        <w:rPr>
          <w:rFonts w:hint="eastAsia"/>
        </w:rPr>
        <w:t>业态代码表</w:t>
      </w:r>
    </w:p>
    <w:tbl>
      <w:tblPr>
        <w:tblStyle w:val="affff7"/>
        <w:tblW w:w="4978"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096"/>
        <w:gridCol w:w="6572"/>
        <w:gridCol w:w="1615"/>
      </w:tblGrid>
      <w:tr w:rsidR="00C34A8A">
        <w:trPr>
          <w:trHeight w:val="318"/>
          <w:tblHeader/>
          <w:jc w:val="center"/>
        </w:trPr>
        <w:tc>
          <w:tcPr>
            <w:tcW w:w="59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7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食品销售经营者</w:t>
            </w:r>
          </w:p>
        </w:tc>
        <w:tc>
          <w:tcPr>
            <w:tcW w:w="870"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餐饮服务经营者</w:t>
            </w:r>
          </w:p>
        </w:tc>
        <w:tc>
          <w:tcPr>
            <w:tcW w:w="870"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集中用餐单位食堂</w:t>
            </w:r>
          </w:p>
        </w:tc>
        <w:tc>
          <w:tcPr>
            <w:tcW w:w="870"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exact"/>
      </w:pPr>
      <w:r>
        <w:rPr>
          <w:rFonts w:hint="eastAsia"/>
        </w:rPr>
        <w:t>食品经营许可证证书类型代码表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2"/>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食品经营许可</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网络食品交易主体</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预包装备案</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小餐饮备案</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冷藏冷冻贮存服务备案</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农批市场登记</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农贸市场登记</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7</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集中交易市场登记</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8</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展销会登记</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农贸市场经营户</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农批市场经营户</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展销会经营户</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示范街</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exact"/>
      </w:pPr>
      <w:r>
        <w:rPr>
          <w:rFonts w:hint="eastAsia"/>
        </w:rPr>
        <w:t xml:space="preserve"> </w:t>
      </w:r>
      <w:r>
        <w:rPr>
          <w:rFonts w:hint="eastAsia"/>
        </w:rPr>
        <w:t>食品经营主体经营状态代码表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在业</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停业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过期</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atLeast"/>
      </w:pPr>
      <w:r>
        <w:rPr>
          <w:rFonts w:hint="eastAsia"/>
        </w:rPr>
        <w:lastRenderedPageBreak/>
        <w:t xml:space="preserve"> </w:t>
      </w:r>
      <w:r>
        <w:rPr>
          <w:rFonts w:hint="eastAsia"/>
        </w:rPr>
        <w:t>工业产品生产许可证有效状态代码表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2"/>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2"/>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Y</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有效</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失效</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line="240" w:lineRule="atLeast"/>
      </w:pPr>
      <w:r>
        <w:rPr>
          <w:rFonts w:hint="eastAsia"/>
        </w:rPr>
        <w:t xml:space="preserve"> </w:t>
      </w:r>
      <w:r>
        <w:rPr>
          <w:rFonts w:hint="eastAsia"/>
        </w:rPr>
        <w:t>工业产品生产许可证产品类型代码表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2"/>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2"/>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砂轮</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饲料粉碎机械</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建筑防水卷材</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危险化学品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水泥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预应力混凝土铁路桥简支梁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助力车</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特种劳动防护用品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耐火材料</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摩托车乘员头盔</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防伪技术产品</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输水管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钢筋混凝土用热轧钢筋</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救生设备</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钢丝绳</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内燃机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泵</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危险化学品包装物、容器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化肥</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公路桥梁支座</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广播电视接收传输设备</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轻小型起重运输设备</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水文仪器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人造板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电线电缆</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岩土工程仪器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橡胶制品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电热毯</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预应力混凝土枕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汽车制动液</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直接接触食品的材料等相关产品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预应力混凝土用钢材</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摩擦材料及密封制品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2"/>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建筑卷扬机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lastRenderedPageBreak/>
        <w:t xml:space="preserve"> </w:t>
      </w:r>
      <w:r>
        <w:rPr>
          <w:rFonts w:hint="eastAsia"/>
        </w:rPr>
        <w:t>工业产品生产主体生产状态代码表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2"/>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正常生产</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停产</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不再生产</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专利类型代码表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2"/>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发明</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实用新型</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外观设计</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专利权人型代码表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9"/>
        <w:gridCol w:w="6571"/>
        <w:gridCol w:w="1615"/>
      </w:tblGrid>
      <w:tr w:rsidR="00C34A8A">
        <w:trPr>
          <w:trHeight w:val="318"/>
          <w:tblHeader/>
          <w:jc w:val="center"/>
        </w:trPr>
        <w:tc>
          <w:tcPr>
            <w:tcW w:w="60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大专院校</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科研机构</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机关团体</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商标类别代码表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用于工业、科学、摄影、农业、园艺、森林的化学品，未加工人造合成树脂，未加工塑料物质，肥料，灭火用合成物，淬火和金属焊接用制剂，保存食品用化学品，鞣料，工业粘合剂</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颜料，清漆，漆，防锈剂和木材防腐剂，着色剂，媒染剂，未加工的天然树脂，画家、装饰家、印刷商和艺术家用</w:t>
            </w:r>
            <w:proofErr w:type="gramStart"/>
            <w:r>
              <w:rPr>
                <w:rFonts w:ascii="宋体" w:hAnsi="宋体" w:hint="eastAsia"/>
                <w:sz w:val="18"/>
                <w:szCs w:val="18"/>
              </w:rPr>
              <w:t>金属箔及金属</w:t>
            </w:r>
            <w:proofErr w:type="gramEnd"/>
            <w:r>
              <w:rPr>
                <w:rFonts w:ascii="宋体" w:hAnsi="宋体" w:hint="eastAsia"/>
                <w:sz w:val="18"/>
                <w:szCs w:val="18"/>
              </w:rPr>
              <w:t>粉</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洗衣用漂白剂及其他物料，清洁、擦亮、去渍及研磨用制剂，肥皂，香料，香精油，化妆品，发水，牙膏</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工业用油及油脂，润滑剂吸取、喷洒和粘结灰层用品，燃料（包括马达用的汽油）和照明材料，照明用蜡烛，灯芯</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医用和售医用制剂，医用卫生制剂，医用营养品，婴儿食品，膏药，绷敷材料，</w:t>
            </w:r>
            <w:proofErr w:type="gramStart"/>
            <w:r>
              <w:rPr>
                <w:rFonts w:ascii="宋体" w:hAnsi="宋体" w:hint="eastAsia"/>
                <w:sz w:val="18"/>
                <w:szCs w:val="18"/>
              </w:rPr>
              <w:t>填塞压孔和</w:t>
            </w:r>
            <w:proofErr w:type="gramEnd"/>
            <w:r>
              <w:rPr>
                <w:rFonts w:ascii="宋体" w:hAnsi="宋体" w:hint="eastAsia"/>
                <w:sz w:val="18"/>
                <w:szCs w:val="18"/>
              </w:rPr>
              <w:t>牙模用料，消毒剂，消灭有害动物制剂，杀真菌剂，除莠剂</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普通金属及其合金，金属建筑材料，可移动金属建筑物，铁轨用金属材料，非电气用缆索和金属线，小五金具，金属管，保险箱，不属别类的普通金属制品，矿砂</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机器和机床，马达和发动机（陆地车辆用的除外），机器传动机件（陆地车辆用的除外），非</w:t>
            </w:r>
            <w:proofErr w:type="gramStart"/>
            <w:r>
              <w:rPr>
                <w:rFonts w:ascii="宋体" w:hAnsi="宋体" w:hint="eastAsia"/>
                <w:sz w:val="18"/>
                <w:szCs w:val="18"/>
              </w:rPr>
              <w:t>手动农业</w:t>
            </w:r>
            <w:proofErr w:type="gramEnd"/>
            <w:r>
              <w:rPr>
                <w:rFonts w:ascii="宋体" w:hAnsi="宋体" w:hint="eastAsia"/>
                <w:sz w:val="18"/>
                <w:szCs w:val="18"/>
              </w:rPr>
              <w:t>工具，孵化期</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2"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手工用具和器械（手工操作的），刀、叉和</w:t>
            </w:r>
            <w:proofErr w:type="gramStart"/>
            <w:r>
              <w:rPr>
                <w:rFonts w:ascii="宋体" w:hAnsi="宋体" w:hint="eastAsia"/>
                <w:sz w:val="18"/>
                <w:szCs w:val="18"/>
              </w:rPr>
              <w:t>勺餐具</w:t>
            </w:r>
            <w:proofErr w:type="gramEnd"/>
            <w:r>
              <w:rPr>
                <w:rFonts w:ascii="宋体" w:hAnsi="宋体" w:hint="eastAsia"/>
                <w:sz w:val="18"/>
                <w:szCs w:val="18"/>
              </w:rPr>
              <w:t>，佩刀，剃刀</w:t>
            </w:r>
          </w:p>
        </w:tc>
        <w:tc>
          <w:tcPr>
            <w:tcW w:w="86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A.43  </w:t>
      </w:r>
      <w:r>
        <w:rPr>
          <w:rFonts w:ascii="黑体" w:eastAsia="黑体" w:hAnsi="黑体" w:hint="eastAsia"/>
        </w:rPr>
        <w:t>商标类别代码表</w:t>
      </w:r>
      <w:r>
        <w:rPr>
          <w:rFonts w:hAnsi="宋体" w:hint="eastAsia"/>
        </w:rPr>
        <w:t>（续）</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科学、航海、测地、摄影、电影、光学、衡具、量具、信号、检验（监督）、救护（营救）和教学用具及仪器，处理、开关、传送、积累、调节或控制电的仪器和器具，录制、通讯、重放声音和形象的器具，磁性数据载体，录音盘，自动售货器和投币启动装置的机械结构，现金收入记录机，计算机和数据处理装置，灭火器械</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外科、医疗、牙科和兽医用仪器及器械，假肢，假眼和假牙，矫形用品，缝合用材料</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照明、加温、蒸汽、烹调、冷藏、干燥、通风、供水以及卫生设备装置</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车辆，陆、空、海用运载器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火器，军火及子弹，爆炸物，焰火</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贵重金属及其合金以及不属别类的贵重金属制品或镀有贵重金属的物品，珠宝，首饰，宝石，钟表和计时仪器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乐器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16</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属别类的纸、纸版及其制品，印刷品，装订用品，照片，文具用品，文具或家庭用粘合剂，美术用品，画笔，打字机和办公用品（家具除外），教学或教学用品（仪器除外），包装用塑料物品（不属别类的），印刷铅字，印版</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17</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不属别类的橡胶，古塔胶，树胶，石棉，云母以及这些原材料的制品，生产用半成品塑料制品，包装、填充和绝缘用材料，非金属软管</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18</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皮革及人造皮革，不属别类的皮革及人造皮革制品，毛皮，箱子及旅行袋，雨伞，阳伞及手杖，鞭和马具</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非金属的建筑材料，建筑用非金属刚性管，沥青，柏油，可移动非金属建筑物，非金属碑</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家具，玻璃镜子，镜框，不属别类的木、软木、苇、藤、柳条、角、骨、象牙、鲸骨、贝壳、琥珀、珍珠母、海泡石制品，这些材料的代用品和塑料制品</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家庭或厨房用具及容器（非贵重金属所制，也非镀有贵重金属的），梳子及海绵，刷子（画笔除外），制刷材料，清扫用具，钢丝绒，未加工或半加工玻璃（建筑用玻璃除外），不属别类的玻璃器皿，瓷器及陶器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缆、绳，网，遮篷，帐篷，防水遮布，帆，袋（不属别类的），衬垫及填充料（橡胶或塑料除外），纺织用纤维原料</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纺织用纱、线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不属别类的布料及纺织品，床单和桌布</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服装，鞋，帽</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花边及刺绣，饰带及编带，钮扣，领钩扣，饰针及缝针，假花</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27</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地毯，地席，席类，油毡及其他铺地板用品，非纺织品墙</w:t>
            </w:r>
            <w:proofErr w:type="gramStart"/>
            <w:r>
              <w:rPr>
                <w:rFonts w:ascii="宋体" w:hAnsi="宋体" w:hint="eastAsia"/>
                <w:sz w:val="18"/>
                <w:szCs w:val="18"/>
              </w:rPr>
              <w:t>帷</w:t>
            </w:r>
            <w:proofErr w:type="gramEnd"/>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28</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娱乐品，玩具，不属别类的体育及运动用品，圣诞树用装饰品</w:t>
            </w:r>
          </w:p>
        </w:tc>
        <w:tc>
          <w:tcPr>
            <w:tcW w:w="868"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29</w:t>
            </w:r>
          </w:p>
        </w:tc>
        <w:tc>
          <w:tcPr>
            <w:tcW w:w="3532"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肉，鱼，家禽及野味，肉汁，腌渍，干制及煮熟的水果和蔬菜，果冻，果酱，蜜饯，蛋，奶及乳制品，食用油和油脂</w:t>
            </w:r>
          </w:p>
        </w:tc>
        <w:tc>
          <w:tcPr>
            <w:tcW w:w="868"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A.43  </w:t>
      </w:r>
      <w:r>
        <w:rPr>
          <w:rFonts w:ascii="黑体" w:eastAsia="黑体" w:hAnsi="黑体" w:hint="eastAsia"/>
        </w:rPr>
        <w:t>商标类别代码表</w:t>
      </w:r>
      <w:r>
        <w:rPr>
          <w:rFonts w:hAnsi="宋体" w:hint="eastAsia"/>
        </w:rPr>
        <w:t>（续）</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咖啡，茶，可可，糖，米，食用淀粉，西米，咖啡代用品，面粉及谷类制品，面包，糕点及糖果，冰制食品，蜂蜜，糖浆，鲜酵母，发酵粉，食盐，芥末，醋，沙司（调味品）调味用香料，饮用水</w:t>
            </w:r>
          </w:p>
        </w:tc>
        <w:tc>
          <w:tcPr>
            <w:tcW w:w="868"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农业、园艺、林业产品及不属别类的谷物，牲畜，新鲜水果和蔬菜，种籽，草木及花卉，动物饲料，麦芽</w:t>
            </w:r>
          </w:p>
        </w:tc>
        <w:tc>
          <w:tcPr>
            <w:tcW w:w="868"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啤酒，矿泉水和汽水以及其他不含酒精的饮料，水果饮料及果汁，糖浆及其他供饮料用的制剂</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含酒精的饮料（啤酒除外）</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烟草，烟具，火柴</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广告，实业经营，实业管理，办公事务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保险，金融，货币市场，不动产事务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37</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房屋建筑，修理，安装服务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38</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运输，商品包装和贮藏，旅行安排</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材料处理</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教育，提供培训，娱乐，文体活动</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科学技术服务和与之相关的研究与设计服务，工业分析与研究，计算机硬件与软件的设计与开发，法律服务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提供食品和饮料服务，临时住宿</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医疗服务，兽医服务，人或动物的卫生和美容服务，农业、园艺或林业服务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由他人提供的为满足个人需求的私人和社会服务，为保护财产和人身安全的服务</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商标类型代码表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J</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集体商标</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P</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普通商标</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Z</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证明商标</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商标国际分类代码表</w:t>
      </w:r>
    </w:p>
    <w:tbl>
      <w:tblPr>
        <w:tblStyle w:val="affff7"/>
        <w:tblW w:w="4988"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1"/>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2"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工业、科学和农业的化学制品</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颜料、染料和防腐制品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清洁制剂和化妆品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工业用油和油脂，燃料和照明材料</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药品和其他医用或兽医用制剂</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06</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未加工的和半加工的普通金属，以及这些金属的简单制品</w:t>
            </w:r>
          </w:p>
        </w:tc>
        <w:tc>
          <w:tcPr>
            <w:tcW w:w="869"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07</w:t>
            </w:r>
          </w:p>
        </w:tc>
        <w:tc>
          <w:tcPr>
            <w:tcW w:w="3532"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机器、机床、马达和引擎</w:t>
            </w:r>
          </w:p>
        </w:tc>
        <w:tc>
          <w:tcPr>
            <w:tcW w:w="869"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A.45  </w:t>
      </w:r>
      <w:r>
        <w:rPr>
          <w:rFonts w:ascii="黑体" w:eastAsia="黑体" w:hAnsi="黑体" w:hint="eastAsia"/>
        </w:rPr>
        <w:t>商标国际分类代码表</w:t>
      </w:r>
      <w:r>
        <w:rPr>
          <w:rFonts w:hAnsi="宋体" w:hint="eastAsia"/>
        </w:rPr>
        <w:t>（续）</w:t>
      </w:r>
    </w:p>
    <w:tbl>
      <w:tblPr>
        <w:tblStyle w:val="affff7"/>
        <w:tblW w:w="4988"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1"/>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08</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各种行业的作为工具使用的手动器具</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09</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科研、领航用仪器及器械；数字存储媒介；计算机；计算机软件；灭火设备</w:t>
            </w:r>
          </w:p>
        </w:tc>
        <w:tc>
          <w:tcPr>
            <w:tcW w:w="869"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医疗仪器、器械及用品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11</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照明、加热、蒸汽发生、烹饪、冷藏、干燥、通风、供水以及卫生用装置</w:t>
            </w:r>
          </w:p>
        </w:tc>
        <w:tc>
          <w:tcPr>
            <w:tcW w:w="869"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12</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运载工具；陆、空、海用运载装置</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13</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火器和花炮产品</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14</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贵重金属，不属别类的贵重金属制品，并通常包括珠宝、首饰和钟表</w:t>
            </w:r>
          </w:p>
        </w:tc>
        <w:tc>
          <w:tcPr>
            <w:tcW w:w="869"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乐器</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16</w:t>
            </w:r>
          </w:p>
        </w:tc>
        <w:tc>
          <w:tcPr>
            <w:tcW w:w="3532" w:type="pct"/>
            <w:shd w:val="clear" w:color="auto" w:fill="auto"/>
            <w:vAlign w:val="center"/>
          </w:tcPr>
          <w:p w:rsidR="00C34A8A" w:rsidRDefault="00FD5D49">
            <w:pPr>
              <w:spacing w:line="240" w:lineRule="auto"/>
              <w:jc w:val="center"/>
              <w:rPr>
                <w:rFonts w:ascii="宋体" w:hAnsi="宋体"/>
                <w:sz w:val="18"/>
                <w:szCs w:val="18"/>
              </w:rPr>
            </w:pPr>
            <w:proofErr w:type="gramStart"/>
            <w:r>
              <w:rPr>
                <w:rFonts w:ascii="宋体" w:hAnsi="宋体" w:hint="eastAsia"/>
                <w:sz w:val="18"/>
                <w:szCs w:val="18"/>
              </w:rPr>
              <w:t>括</w:t>
            </w:r>
            <w:proofErr w:type="gramEnd"/>
            <w:r>
              <w:rPr>
                <w:rFonts w:ascii="宋体" w:hAnsi="宋体" w:hint="eastAsia"/>
                <w:sz w:val="18"/>
                <w:szCs w:val="18"/>
              </w:rPr>
              <w:t>纸、纸制品和办公用品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17</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电绝缘，隔热或隔音材料，以及生产用塑料纸、板或杆</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18</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皮革、人造皮革、不属别类的旅行用品和马具</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非金属建筑材料</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家具及其部件和不属别类的塑料制品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家庭和厨房用小型手动器具以及盥洗室用具、玻璃器皿和瓷器</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绳缆及帆篷制品，衬垫和填充材料，纺织用纤维原料</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纺织用纱和线</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纺织品（布匹）和家用纺织品制罩布</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服装，鞋，帽</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26</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缝纫用品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27</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铺在已建成的地板和墙壁上的制品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28</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游戏器具和玩具；不属别类的体育和运动用品；圣诞树用装饰品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动物类食品，以及日用或贮藏用的蔬菜及其他可食用的园艺产品</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日用或贮藏用的植物类食品，以及调味</w:t>
            </w:r>
            <w:proofErr w:type="gramStart"/>
            <w:r>
              <w:rPr>
                <w:rFonts w:ascii="宋体" w:hAnsi="宋体" w:hint="eastAsia"/>
                <w:sz w:val="18"/>
                <w:szCs w:val="18"/>
              </w:rPr>
              <w:t>佐料</w:t>
            </w:r>
            <w:proofErr w:type="gramEnd"/>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日用的未经制作的田地产物，活动物及植物，以及动物饲料</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32</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不含酒精的饮料及啤酒</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33</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含酒精的饮料（啤酒除外）</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34</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烟草；烟具；火柴</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35</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广告；商业经营；商业管理；办公事务</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36</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保险；金融事务；货币事务；不动产事务</w:t>
            </w:r>
          </w:p>
        </w:tc>
        <w:tc>
          <w:tcPr>
            <w:tcW w:w="869"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37</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房屋建筑；修理；安装服务</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38</w:t>
            </w:r>
          </w:p>
        </w:tc>
        <w:tc>
          <w:tcPr>
            <w:tcW w:w="3532"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电信</w:t>
            </w:r>
          </w:p>
        </w:tc>
        <w:tc>
          <w:tcPr>
            <w:tcW w:w="869"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39</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运输；商品包装和贮藏；旅行安排</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材料处理</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41</w:t>
            </w:r>
          </w:p>
        </w:tc>
        <w:tc>
          <w:tcPr>
            <w:tcW w:w="3532"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教育；提供培训；娱乐；文体活动</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42</w:t>
            </w:r>
          </w:p>
        </w:tc>
        <w:tc>
          <w:tcPr>
            <w:tcW w:w="3532"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科学技术服务和与之相关的研究与设计服务；工业分析与研究；计算机硬件与软件的设计与开发</w:t>
            </w:r>
          </w:p>
        </w:tc>
        <w:tc>
          <w:tcPr>
            <w:tcW w:w="869"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43</w:t>
            </w:r>
          </w:p>
        </w:tc>
        <w:tc>
          <w:tcPr>
            <w:tcW w:w="3532"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提供食物和饮料服务；临时住宿</w:t>
            </w:r>
          </w:p>
        </w:tc>
        <w:tc>
          <w:tcPr>
            <w:tcW w:w="869"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r>
        <w:br w:type="page"/>
      </w:r>
    </w:p>
    <w:p w:rsidR="00C34A8A" w:rsidRDefault="00FD5D49">
      <w:pPr>
        <w:pStyle w:val="afffff5"/>
        <w:pageBreakBefore/>
        <w:spacing w:beforeLines="50" w:before="156" w:afterLines="50" w:after="156"/>
        <w:ind w:firstLineChars="0" w:firstLine="0"/>
        <w:jc w:val="center"/>
        <w:rPr>
          <w:rFonts w:hAnsi="宋体"/>
        </w:rPr>
      </w:pPr>
      <w:r>
        <w:rPr>
          <w:rFonts w:ascii="黑体" w:eastAsia="黑体" w:hAnsi="黑体" w:hint="eastAsia"/>
        </w:rPr>
        <w:lastRenderedPageBreak/>
        <w:t>表</w:t>
      </w:r>
      <w:r>
        <w:rPr>
          <w:rFonts w:ascii="黑体" w:eastAsia="黑体" w:hAnsi="黑体" w:hint="eastAsia"/>
        </w:rPr>
        <w:t xml:space="preserve">A.45  </w:t>
      </w:r>
      <w:r>
        <w:rPr>
          <w:rFonts w:ascii="黑体" w:eastAsia="黑体" w:hAnsi="黑体" w:hint="eastAsia"/>
        </w:rPr>
        <w:t>商标国际分类代码表</w:t>
      </w:r>
      <w:r>
        <w:rPr>
          <w:rFonts w:hAnsi="宋体" w:hint="eastAsia"/>
        </w:rPr>
        <w:t>（续）</w:t>
      </w:r>
    </w:p>
    <w:tbl>
      <w:tblPr>
        <w:tblStyle w:val="affff7"/>
        <w:tblW w:w="4988"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4"/>
        <w:gridCol w:w="6571"/>
        <w:gridCol w:w="1617"/>
      </w:tblGrid>
      <w:tr w:rsidR="00C34A8A">
        <w:trPr>
          <w:trHeight w:val="318"/>
          <w:tblHeader/>
          <w:jc w:val="center"/>
        </w:trPr>
        <w:tc>
          <w:tcPr>
            <w:tcW w:w="59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2"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599"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44</w:t>
            </w:r>
          </w:p>
        </w:tc>
        <w:tc>
          <w:tcPr>
            <w:tcW w:w="3532"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医疗服务；兽医服务；人或动物的卫生和美容服务；农业、园艺和林业服务</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599"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45</w:t>
            </w:r>
          </w:p>
        </w:tc>
        <w:tc>
          <w:tcPr>
            <w:tcW w:w="3532" w:type="pct"/>
            <w:tcBorders>
              <w:top w:val="single" w:sz="4"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法律服务；由他人提供的为满足个人需要的私人和社会服务；为保护财产和人身安全的服务</w:t>
            </w:r>
          </w:p>
        </w:tc>
        <w:tc>
          <w:tcPr>
            <w:tcW w:w="869" w:type="pct"/>
            <w:tcBorders>
              <w:top w:val="single" w:sz="4" w:space="0" w:color="auto"/>
              <w:bottom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计量单位代码表</w:t>
      </w:r>
    </w:p>
    <w:tbl>
      <w:tblPr>
        <w:tblStyle w:val="affff7"/>
        <w:tblW w:w="4989"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70"/>
        <w:gridCol w:w="1617"/>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体积</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立方米</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升</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毫升</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面积</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201</w:t>
            </w:r>
          </w:p>
        </w:tc>
        <w:tc>
          <w:tcPr>
            <w:tcW w:w="3531" w:type="pct"/>
            <w:tcBorders>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平方米</w:t>
            </w:r>
          </w:p>
        </w:tc>
        <w:tc>
          <w:tcPr>
            <w:tcW w:w="869" w:type="pct"/>
            <w:tcBorders>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202</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亩</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300</w:t>
            </w:r>
          </w:p>
        </w:tc>
        <w:tc>
          <w:tcPr>
            <w:tcW w:w="3531" w:type="pct"/>
            <w:tcBorders>
              <w:top w:val="single" w:sz="4" w:space="0" w:color="auto"/>
              <w:bottom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长度</w:t>
            </w:r>
          </w:p>
        </w:tc>
        <w:tc>
          <w:tcPr>
            <w:tcW w:w="869" w:type="pct"/>
            <w:tcBorders>
              <w:top w:val="single" w:sz="4" w:space="0" w:color="auto"/>
              <w:bottom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301</w:t>
            </w:r>
          </w:p>
        </w:tc>
        <w:tc>
          <w:tcPr>
            <w:tcW w:w="3531" w:type="pct"/>
            <w:tcBorders>
              <w:top w:val="single" w:sz="4"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米</w:t>
            </w:r>
          </w:p>
        </w:tc>
        <w:tc>
          <w:tcPr>
            <w:tcW w:w="869" w:type="pct"/>
            <w:tcBorders>
              <w:top w:val="single" w:sz="4"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厘米</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质量</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千克（公斤）</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克</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吨</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磅</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包装或销售单位</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501</w:t>
            </w:r>
          </w:p>
        </w:tc>
        <w:tc>
          <w:tcPr>
            <w:tcW w:w="3531" w:type="pct"/>
            <w:shd w:val="clear" w:color="auto" w:fill="auto"/>
            <w:vAlign w:val="center"/>
          </w:tcPr>
          <w:p w:rsidR="00C34A8A" w:rsidRDefault="00FD5D49">
            <w:pPr>
              <w:spacing w:line="240" w:lineRule="auto"/>
              <w:jc w:val="center"/>
              <w:rPr>
                <w:rFonts w:ascii="宋体" w:hAnsi="宋体"/>
                <w:sz w:val="18"/>
                <w:szCs w:val="18"/>
              </w:rPr>
            </w:pPr>
            <w:proofErr w:type="gramStart"/>
            <w:r>
              <w:rPr>
                <w:rFonts w:ascii="宋体" w:hAnsi="宋体" w:hint="eastAsia"/>
                <w:sz w:val="18"/>
                <w:szCs w:val="18"/>
              </w:rPr>
              <w:t>个</w:t>
            </w:r>
            <w:proofErr w:type="gramEnd"/>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包括头、只、枝、片、株等</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罐</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桶</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包</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袋</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盒</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条</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箱</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509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瓶</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510</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包</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511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台</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599</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其他</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C34A8A">
      <w:pPr>
        <w:pStyle w:val="afffff5"/>
        <w:ind w:firstLine="420"/>
      </w:pPr>
    </w:p>
    <w:p w:rsidR="00C34A8A" w:rsidRDefault="00C34A8A">
      <w:pPr>
        <w:pStyle w:val="afffff5"/>
        <w:ind w:firstLine="420"/>
      </w:pPr>
    </w:p>
    <w:p w:rsidR="00C34A8A" w:rsidRDefault="00C34A8A">
      <w:pPr>
        <w:pStyle w:val="afffff5"/>
        <w:ind w:firstLine="420"/>
      </w:pPr>
    </w:p>
    <w:p w:rsidR="00C34A8A" w:rsidRDefault="00FD5D49">
      <w:pPr>
        <w:pStyle w:val="aff"/>
        <w:spacing w:before="156" w:after="156"/>
      </w:pPr>
      <w:r>
        <w:rPr>
          <w:rFonts w:hint="eastAsia"/>
        </w:rPr>
        <w:lastRenderedPageBreak/>
        <w:t>信用黑名单种类代码表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法定代表人及相关负责人黑名单</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企业申请人或登记委托代理人黑名单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无照经营黑名单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未履行法定义务或约定义务黑名单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严重失信违法黑名单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预付款消费逃逸黑名单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商标代理机构黑名单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农资经营黑名单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8</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经营异常黑名单</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信用黑名单列入原因代码表</w:t>
      </w:r>
    </w:p>
    <w:tbl>
      <w:tblPr>
        <w:tblStyle w:val="affff7"/>
        <w:tblW w:w="4988"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6"/>
        <w:gridCol w:w="6569"/>
        <w:gridCol w:w="1617"/>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9"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未按规定年报</w:t>
            </w:r>
          </w:p>
        </w:tc>
        <w:tc>
          <w:tcPr>
            <w:tcW w:w="869"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未即时公示</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公示信息隐瞒真实情况、弄虚作假</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住所无法取得联系</w:t>
            </w:r>
          </w:p>
        </w:tc>
        <w:tc>
          <w:tcPr>
            <w:tcW w:w="869"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信用黑名单主体类型代码表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企业</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个体户</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自然人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
        <w:spacing w:before="156" w:after="156"/>
      </w:pPr>
      <w:r>
        <w:rPr>
          <w:rFonts w:hint="eastAsia"/>
        </w:rPr>
        <w:t xml:space="preserve"> </w:t>
      </w:r>
      <w:r>
        <w:rPr>
          <w:rFonts w:hint="eastAsia"/>
        </w:rPr>
        <w:t>信用黑名单人员类型代码表</w:t>
      </w:r>
    </w:p>
    <w:tbl>
      <w:tblPr>
        <w:tblStyle w:val="affff7"/>
        <w:tblW w:w="4990" w:type="pct"/>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117"/>
        <w:gridCol w:w="6573"/>
        <w:gridCol w:w="1615"/>
      </w:tblGrid>
      <w:tr w:rsidR="00C34A8A">
        <w:trPr>
          <w:trHeight w:val="318"/>
          <w:tblHeader/>
          <w:jc w:val="center"/>
        </w:trPr>
        <w:tc>
          <w:tcPr>
            <w:tcW w:w="600"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代码</w:t>
            </w:r>
          </w:p>
        </w:tc>
        <w:tc>
          <w:tcPr>
            <w:tcW w:w="3531"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名称</w:t>
            </w:r>
          </w:p>
        </w:tc>
        <w:tc>
          <w:tcPr>
            <w:tcW w:w="868" w:type="pct"/>
            <w:tcBorders>
              <w:top w:val="single" w:sz="12" w:space="0" w:color="auto"/>
              <w:bottom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说明</w:t>
            </w:r>
          </w:p>
        </w:tc>
      </w:tr>
      <w:tr w:rsidR="00C34A8A">
        <w:trPr>
          <w:trHeight w:val="318"/>
          <w:jc w:val="center"/>
        </w:trPr>
        <w:tc>
          <w:tcPr>
            <w:tcW w:w="600"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01</w:t>
            </w:r>
          </w:p>
        </w:tc>
        <w:tc>
          <w:tcPr>
            <w:tcW w:w="3531" w:type="pct"/>
            <w:tcBorders>
              <w:top w:val="single" w:sz="12" w:space="0" w:color="auto"/>
            </w:tcBorders>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股东</w:t>
            </w:r>
          </w:p>
        </w:tc>
        <w:tc>
          <w:tcPr>
            <w:tcW w:w="868" w:type="pct"/>
            <w:tcBorders>
              <w:top w:val="single" w:sz="12" w:space="0" w:color="auto"/>
            </w:tcBorders>
            <w:shd w:val="clear" w:color="auto" w:fill="auto"/>
            <w:vAlign w:val="center"/>
          </w:tcPr>
          <w:p w:rsidR="00C34A8A" w:rsidRDefault="00FD5D49">
            <w:pPr>
              <w:pStyle w:val="afffffffff9"/>
              <w:rPr>
                <w:rFonts w:hAnsi="宋体"/>
                <w:szCs w:val="18"/>
              </w:rPr>
            </w:pPr>
            <w:r>
              <w:rPr>
                <w:rFonts w:hAnsi="宋体" w:hint="eastAsia"/>
                <w:szCs w:val="18"/>
              </w:rPr>
              <w:t>-</w:t>
            </w:r>
          </w:p>
        </w:tc>
      </w:tr>
      <w:tr w:rsidR="00C34A8A">
        <w:trPr>
          <w:trHeight w:val="318"/>
          <w:jc w:val="center"/>
        </w:trPr>
        <w:tc>
          <w:tcPr>
            <w:tcW w:w="600" w:type="pct"/>
            <w:shd w:val="clear" w:color="auto" w:fill="auto"/>
            <w:vAlign w:val="center"/>
          </w:tcPr>
          <w:p w:rsidR="00C34A8A" w:rsidRDefault="00FD5D4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rsidR="00C34A8A" w:rsidRDefault="00FD5D49">
            <w:pPr>
              <w:spacing w:line="240" w:lineRule="auto"/>
              <w:jc w:val="center"/>
              <w:rPr>
                <w:rFonts w:ascii="宋体" w:hAnsi="宋体"/>
                <w:sz w:val="18"/>
                <w:szCs w:val="18"/>
              </w:rPr>
            </w:pPr>
            <w:r>
              <w:rPr>
                <w:rFonts w:ascii="宋体" w:hAnsi="宋体" w:hint="eastAsia"/>
                <w:sz w:val="18"/>
                <w:szCs w:val="18"/>
              </w:rPr>
              <w:t>法定代表人</w:t>
            </w:r>
          </w:p>
        </w:tc>
        <w:tc>
          <w:tcPr>
            <w:tcW w:w="868" w:type="pct"/>
            <w:shd w:val="clear" w:color="auto" w:fill="auto"/>
            <w:vAlign w:val="center"/>
          </w:tcPr>
          <w:p w:rsidR="00C34A8A" w:rsidRDefault="00FD5D49">
            <w:pPr>
              <w:pStyle w:val="afffffffff9"/>
              <w:rPr>
                <w:rFonts w:hAnsi="宋体"/>
                <w:szCs w:val="18"/>
              </w:rPr>
            </w:pPr>
            <w:r>
              <w:rPr>
                <w:rFonts w:hAnsi="宋体" w:hint="eastAsia"/>
                <w:szCs w:val="18"/>
              </w:rPr>
              <w:t>-</w:t>
            </w:r>
          </w:p>
        </w:tc>
      </w:tr>
    </w:tbl>
    <w:p w:rsidR="00C34A8A" w:rsidRDefault="00FD5D49">
      <w:pPr>
        <w:pStyle w:val="afffff5"/>
        <w:ind w:firstLineChars="0" w:firstLine="0"/>
        <w:jc w:val="center"/>
      </w:pPr>
      <w:bookmarkStart w:id="46" w:name="BookMark8"/>
      <w:bookmarkEnd w:id="45"/>
      <w:r>
        <w:rPr>
          <w:noProof/>
        </w:rPr>
        <w:drawing>
          <wp:inline distT="0" distB="0" distL="0" distR="0">
            <wp:extent cx="1485900" cy="317500"/>
            <wp:effectExtent l="0" t="0" r="0" b="6350"/>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4">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6"/>
    </w:p>
    <w:sectPr w:rsidR="00C34A8A">
      <w:headerReference w:type="even" r:id="rId25"/>
      <w:headerReference w:type="default" r:id="rId26"/>
      <w:footerReference w:type="even" r:id="rId27"/>
      <w:footerReference w:type="default" r:id="rId28"/>
      <w:pgSz w:w="11906" w:h="16838"/>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5D49" w:rsidRDefault="00FD5D49">
      <w:pPr>
        <w:spacing w:line="240" w:lineRule="auto"/>
      </w:pPr>
      <w:r>
        <w:separator/>
      </w:r>
    </w:p>
  </w:endnote>
  <w:endnote w:type="continuationSeparator" w:id="0">
    <w:p w:rsidR="00FD5D49" w:rsidRDefault="00FD5D4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C34A8A">
    <w:pPr>
      <w:pStyle w:val="afffe"/>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1"/>
    </w:pPr>
    <w:r>
      <w:fldChar w:fldCharType="begin"/>
    </w:r>
    <w:r>
      <w:instrText xml:space="preserve"> PAGE   \* MERGEFORMAT \* MERGEFORMAT </w:instrText>
    </w:r>
    <w:r>
      <w:fldChar w:fldCharType="separate"/>
    </w:r>
    <w:r>
      <w:t>I</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2"/>
    </w:pPr>
    <w:r>
      <w:fldChar w:fldCharType="begin"/>
    </w:r>
    <w:r>
      <w:instrText>PAGE   \* MERGEFORMAT</w:instrText>
    </w:r>
    <w:r>
      <w:fldChar w:fldCharType="separate"/>
    </w:r>
    <w:r w:rsidR="000870D8" w:rsidRPr="000870D8">
      <w:rPr>
        <w:noProof/>
        <w:lang w:val="zh-CN"/>
      </w:rPr>
      <w:t>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1"/>
    </w:pPr>
    <w:r>
      <w:fldChar w:fldCharType="begin"/>
    </w:r>
    <w:r>
      <w:instrText xml:space="preserve"> PAGE   \* MERGEFORMAT \* MERGEFORMAT </w:instrText>
    </w:r>
    <w:r>
      <w:fldChar w:fldCharType="separate"/>
    </w:r>
    <w:r w:rsidR="000870D8">
      <w:rPr>
        <w:noProof/>
      </w:rPr>
      <w:t>18</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2"/>
    </w:pPr>
    <w:r>
      <w:fldChar w:fldCharType="begin"/>
    </w:r>
    <w:r>
      <w:instrText>PAGE   \* MERGEFORMAT</w:instrText>
    </w:r>
    <w:r>
      <w:fldChar w:fldCharType="separate"/>
    </w:r>
    <w:r w:rsidR="000870D8" w:rsidRPr="000870D8">
      <w:rPr>
        <w:noProof/>
        <w:lang w:val="zh-CN"/>
      </w:rPr>
      <w:t>17</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1"/>
    </w:pPr>
    <w:r>
      <w:fldChar w:fldCharType="begin"/>
    </w:r>
    <w:r>
      <w:instrText xml:space="preserve"> PAGE   \* MERGEFORMAT \* MERGEFORMAT </w:instrText>
    </w:r>
    <w:r>
      <w:fldChar w:fldCharType="separate"/>
    </w:r>
    <w:r w:rsidR="000870D8">
      <w:rPr>
        <w:noProof/>
      </w:rPr>
      <w:t>28</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2"/>
    </w:pPr>
    <w:r>
      <w:fldChar w:fldCharType="begin"/>
    </w:r>
    <w:r>
      <w:instrText>PAGE   \* MERGEFORMAT</w:instrText>
    </w:r>
    <w:r>
      <w:fldChar w:fldCharType="separate"/>
    </w:r>
    <w:r w:rsidR="000870D8" w:rsidRPr="000870D8">
      <w:rPr>
        <w:noProof/>
        <w:lang w:val="zh-CN"/>
      </w:rPr>
      <w:t>27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5D49" w:rsidRDefault="00FD5D49">
      <w:pPr>
        <w:spacing w:line="240" w:lineRule="auto"/>
      </w:pPr>
      <w:r>
        <w:separator/>
      </w:r>
    </w:p>
  </w:footnote>
  <w:footnote w:type="continuationSeparator" w:id="0">
    <w:p w:rsidR="00FD5D49" w:rsidRDefault="00FD5D4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0"/>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C34A8A">
    <w:pPr>
      <w:pStyle w:val="affff0"/>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b"/>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t>DB3202/T XXXX</w:t>
    </w:r>
    <w:r>
      <w:t>—</w:t>
    </w:r>
    <w:r>
      <w:t>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a"/>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0870D8">
      <w:rPr>
        <w:noProof/>
      </w:rPr>
      <w:t>DB3202/T XXXX</w:t>
    </w:r>
    <w:r w:rsidR="000870D8">
      <w:rPr>
        <w:noProof/>
      </w:rPr>
      <w:t>—</w:t>
    </w:r>
    <w:r w:rsidR="000870D8">
      <w:rPr>
        <w:noProof/>
      </w:rP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b"/>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0870D8">
      <w:rPr>
        <w:noProof/>
      </w:rPr>
      <w:t>DB3202/T XXXX</w:t>
    </w:r>
    <w:r w:rsidR="000870D8">
      <w:rPr>
        <w:noProof/>
      </w:rPr>
      <w:t>—</w:t>
    </w:r>
    <w:r w:rsidR="000870D8">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a"/>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0870D8">
      <w:rPr>
        <w:noProof/>
      </w:rPr>
      <w:t>DB3202/T XXXX</w:t>
    </w:r>
    <w:r w:rsidR="000870D8">
      <w:rPr>
        <w:noProof/>
      </w:rPr>
      <w:t>—</w:t>
    </w:r>
    <w:r w:rsidR="000870D8">
      <w:rPr>
        <w:noProof/>
      </w:rPr>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b"/>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0870D8">
      <w:rPr>
        <w:noProof/>
      </w:rPr>
      <w:t>DB3202/T XXXX</w:t>
    </w:r>
    <w:r w:rsidR="000870D8">
      <w:rPr>
        <w:noProof/>
      </w:rPr>
      <w:t>—</w:t>
    </w:r>
    <w:r w:rsidR="000870D8">
      <w:rPr>
        <w:noProof/>
      </w:rPr>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4A8A" w:rsidRDefault="00FD5D49">
    <w:pPr>
      <w:pStyle w:val="afffffa"/>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0870D8">
      <w:rPr>
        <w:noProof/>
      </w:rPr>
      <w:t>DB3202/T XXXX</w:t>
    </w:r>
    <w:r w:rsidR="000870D8">
      <w:rPr>
        <w:noProof/>
      </w:rPr>
      <w:t>—</w:t>
    </w:r>
    <w:r w:rsidR="000870D8">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grammar="clean"/>
  <w:attachedTemplate r:id="rId1"/>
  <w:documentProtection w:edit="forms" w:enforcement="1" w:cryptProviderType="rsaAES" w:cryptAlgorithmClass="hash" w:cryptAlgorithmType="typeAny" w:cryptAlgorithmSid="14" w:cryptSpinCount="100000" w:hash="lGo8vJHiv8IruuVkW0p6d8fpPjJI3/zJZipZf1SsN4b1gbc5SqGBRCo2HxG/70ZItQnHoiLH67y0q7vP1R0/PA==" w:salt="tCPwjYQGalfzhLQDB5zHmw=="/>
  <w:defaultTabStop w:val="420"/>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3BA7"/>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30A"/>
    <w:rsid w:val="0004249A"/>
    <w:rsid w:val="00043282"/>
    <w:rsid w:val="00044286"/>
    <w:rsid w:val="00047F28"/>
    <w:rsid w:val="000503AA"/>
    <w:rsid w:val="000506A1"/>
    <w:rsid w:val="000515DD"/>
    <w:rsid w:val="0005265A"/>
    <w:rsid w:val="000539DD"/>
    <w:rsid w:val="00053BD3"/>
    <w:rsid w:val="000556ED"/>
    <w:rsid w:val="00055FE2"/>
    <w:rsid w:val="0005616F"/>
    <w:rsid w:val="00057860"/>
    <w:rsid w:val="00060C2E"/>
    <w:rsid w:val="00061033"/>
    <w:rsid w:val="000619E9"/>
    <w:rsid w:val="000622D4"/>
    <w:rsid w:val="0006357D"/>
    <w:rsid w:val="00067F1E"/>
    <w:rsid w:val="00071CC0"/>
    <w:rsid w:val="00073C8C"/>
    <w:rsid w:val="00077B64"/>
    <w:rsid w:val="00080A1C"/>
    <w:rsid w:val="00082317"/>
    <w:rsid w:val="00083D2C"/>
    <w:rsid w:val="00086AA1"/>
    <w:rsid w:val="000870D8"/>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A7E54"/>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8B4"/>
    <w:rsid w:val="000F06E1"/>
    <w:rsid w:val="000F0E3C"/>
    <w:rsid w:val="000F124B"/>
    <w:rsid w:val="000F19D5"/>
    <w:rsid w:val="000F4AEA"/>
    <w:rsid w:val="000F5418"/>
    <w:rsid w:val="000F633F"/>
    <w:rsid w:val="000F67E9"/>
    <w:rsid w:val="000F74E6"/>
    <w:rsid w:val="0010436B"/>
    <w:rsid w:val="00104926"/>
    <w:rsid w:val="001054BC"/>
    <w:rsid w:val="00113B1E"/>
    <w:rsid w:val="0011711C"/>
    <w:rsid w:val="0012059C"/>
    <w:rsid w:val="001214D6"/>
    <w:rsid w:val="001224B7"/>
    <w:rsid w:val="00124E4F"/>
    <w:rsid w:val="001260B7"/>
    <w:rsid w:val="001265CB"/>
    <w:rsid w:val="001321C6"/>
    <w:rsid w:val="001325C4"/>
    <w:rsid w:val="00133010"/>
    <w:rsid w:val="001338EE"/>
    <w:rsid w:val="00133AAE"/>
    <w:rsid w:val="00135323"/>
    <w:rsid w:val="001356C4"/>
    <w:rsid w:val="00141114"/>
    <w:rsid w:val="00142969"/>
    <w:rsid w:val="00144654"/>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620"/>
    <w:rsid w:val="00193A07"/>
    <w:rsid w:val="00194C95"/>
    <w:rsid w:val="00195C34"/>
    <w:rsid w:val="00195CCF"/>
    <w:rsid w:val="00196EF5"/>
    <w:rsid w:val="001A1A53"/>
    <w:rsid w:val="001A234A"/>
    <w:rsid w:val="001A2353"/>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4A25"/>
    <w:rsid w:val="001E73AB"/>
    <w:rsid w:val="001F092D"/>
    <w:rsid w:val="001F143A"/>
    <w:rsid w:val="001F1605"/>
    <w:rsid w:val="001F2508"/>
    <w:rsid w:val="001F4816"/>
    <w:rsid w:val="001F4EE9"/>
    <w:rsid w:val="001F69B4"/>
    <w:rsid w:val="001F77C7"/>
    <w:rsid w:val="00200183"/>
    <w:rsid w:val="00200333"/>
    <w:rsid w:val="0020107D"/>
    <w:rsid w:val="00202AA4"/>
    <w:rsid w:val="00202B97"/>
    <w:rsid w:val="002031F7"/>
    <w:rsid w:val="002040E6"/>
    <w:rsid w:val="0020527B"/>
    <w:rsid w:val="00205F2C"/>
    <w:rsid w:val="00210B15"/>
    <w:rsid w:val="00211EEA"/>
    <w:rsid w:val="00213023"/>
    <w:rsid w:val="002142EA"/>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539B7"/>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A0571"/>
    <w:rsid w:val="002A084B"/>
    <w:rsid w:val="002A1260"/>
    <w:rsid w:val="002A1589"/>
    <w:rsid w:val="002A1608"/>
    <w:rsid w:val="002A25DC"/>
    <w:rsid w:val="002A3AAB"/>
    <w:rsid w:val="002A4CEA"/>
    <w:rsid w:val="002A5977"/>
    <w:rsid w:val="002A5A13"/>
    <w:rsid w:val="002A6D99"/>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3ADA"/>
    <w:rsid w:val="002E4B5B"/>
    <w:rsid w:val="002E4D5A"/>
    <w:rsid w:val="002E6326"/>
    <w:rsid w:val="002F2732"/>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D2A"/>
    <w:rsid w:val="00324EDD"/>
    <w:rsid w:val="00327DE5"/>
    <w:rsid w:val="003331E4"/>
    <w:rsid w:val="00336C64"/>
    <w:rsid w:val="00337162"/>
    <w:rsid w:val="0034194F"/>
    <w:rsid w:val="00344605"/>
    <w:rsid w:val="003474AA"/>
    <w:rsid w:val="00350D1D"/>
    <w:rsid w:val="00352C83"/>
    <w:rsid w:val="003530E3"/>
    <w:rsid w:val="00355917"/>
    <w:rsid w:val="003615D2"/>
    <w:rsid w:val="0036429C"/>
    <w:rsid w:val="003644AB"/>
    <w:rsid w:val="00364A53"/>
    <w:rsid w:val="003654CB"/>
    <w:rsid w:val="00365AA9"/>
    <w:rsid w:val="00365F86"/>
    <w:rsid w:val="00365F87"/>
    <w:rsid w:val="00366E89"/>
    <w:rsid w:val="00367977"/>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0F81"/>
    <w:rsid w:val="003C14F8"/>
    <w:rsid w:val="003C5A43"/>
    <w:rsid w:val="003D0519"/>
    <w:rsid w:val="003D0FF6"/>
    <w:rsid w:val="003D262C"/>
    <w:rsid w:val="003D6D61"/>
    <w:rsid w:val="003D79C6"/>
    <w:rsid w:val="003E091D"/>
    <w:rsid w:val="003E1C53"/>
    <w:rsid w:val="003E20B0"/>
    <w:rsid w:val="003E2A69"/>
    <w:rsid w:val="003E2D49"/>
    <w:rsid w:val="003E2FD4"/>
    <w:rsid w:val="003E3ED6"/>
    <w:rsid w:val="003E49F6"/>
    <w:rsid w:val="003E660F"/>
    <w:rsid w:val="003F0841"/>
    <w:rsid w:val="003F0E8B"/>
    <w:rsid w:val="003F23D3"/>
    <w:rsid w:val="003F3F08"/>
    <w:rsid w:val="003F49F1"/>
    <w:rsid w:val="003F6272"/>
    <w:rsid w:val="00400E72"/>
    <w:rsid w:val="00401400"/>
    <w:rsid w:val="00401783"/>
    <w:rsid w:val="00404869"/>
    <w:rsid w:val="00405884"/>
    <w:rsid w:val="00407D39"/>
    <w:rsid w:val="0041477A"/>
    <w:rsid w:val="004167A3"/>
    <w:rsid w:val="004312C0"/>
    <w:rsid w:val="0043193F"/>
    <w:rsid w:val="00432DAA"/>
    <w:rsid w:val="00434305"/>
    <w:rsid w:val="00435DF7"/>
    <w:rsid w:val="0044083F"/>
    <w:rsid w:val="00441AE7"/>
    <w:rsid w:val="00444A06"/>
    <w:rsid w:val="00445574"/>
    <w:rsid w:val="004467FB"/>
    <w:rsid w:val="00452D6B"/>
    <w:rsid w:val="004538C2"/>
    <w:rsid w:val="00453FAB"/>
    <w:rsid w:val="00454484"/>
    <w:rsid w:val="0045517B"/>
    <w:rsid w:val="00456A4E"/>
    <w:rsid w:val="00456AF3"/>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1A0D"/>
    <w:rsid w:val="00492F02"/>
    <w:rsid w:val="00492FBC"/>
    <w:rsid w:val="004939AE"/>
    <w:rsid w:val="004A12DF"/>
    <w:rsid w:val="004A17CC"/>
    <w:rsid w:val="004A17E6"/>
    <w:rsid w:val="004A1BA8"/>
    <w:rsid w:val="004A4B57"/>
    <w:rsid w:val="004A63FA"/>
    <w:rsid w:val="004B0272"/>
    <w:rsid w:val="004B2701"/>
    <w:rsid w:val="004B2E1B"/>
    <w:rsid w:val="004B30F5"/>
    <w:rsid w:val="004B3AA8"/>
    <w:rsid w:val="004B3E93"/>
    <w:rsid w:val="004C1FBC"/>
    <w:rsid w:val="004C3F1D"/>
    <w:rsid w:val="004C458D"/>
    <w:rsid w:val="004C7556"/>
    <w:rsid w:val="004C7E8B"/>
    <w:rsid w:val="004C7E9D"/>
    <w:rsid w:val="004C7F67"/>
    <w:rsid w:val="004D076D"/>
    <w:rsid w:val="004D0EF1"/>
    <w:rsid w:val="004D2253"/>
    <w:rsid w:val="004D2300"/>
    <w:rsid w:val="004D4406"/>
    <w:rsid w:val="004D7C42"/>
    <w:rsid w:val="004E0465"/>
    <w:rsid w:val="004E127B"/>
    <w:rsid w:val="004E1C0A"/>
    <w:rsid w:val="004E2B06"/>
    <w:rsid w:val="004E30C5"/>
    <w:rsid w:val="004E4AA5"/>
    <w:rsid w:val="004E4AEE"/>
    <w:rsid w:val="004E59E3"/>
    <w:rsid w:val="004E67C0"/>
    <w:rsid w:val="004F391A"/>
    <w:rsid w:val="004F3CFB"/>
    <w:rsid w:val="004F6087"/>
    <w:rsid w:val="004F6456"/>
    <w:rsid w:val="004F696E"/>
    <w:rsid w:val="004F6C71"/>
    <w:rsid w:val="00501139"/>
    <w:rsid w:val="0050363E"/>
    <w:rsid w:val="005039BC"/>
    <w:rsid w:val="005043BB"/>
    <w:rsid w:val="00504A3D"/>
    <w:rsid w:val="00505767"/>
    <w:rsid w:val="005073F0"/>
    <w:rsid w:val="00510380"/>
    <w:rsid w:val="00510A7B"/>
    <w:rsid w:val="00512F6E"/>
    <w:rsid w:val="00513038"/>
    <w:rsid w:val="00514174"/>
    <w:rsid w:val="00515A7F"/>
    <w:rsid w:val="00516088"/>
    <w:rsid w:val="00516B0B"/>
    <w:rsid w:val="0051734F"/>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0F3F"/>
    <w:rsid w:val="00573D9E"/>
    <w:rsid w:val="00575570"/>
    <w:rsid w:val="005801E3"/>
    <w:rsid w:val="00581802"/>
    <w:rsid w:val="005836A8"/>
    <w:rsid w:val="0058409C"/>
    <w:rsid w:val="00584262"/>
    <w:rsid w:val="00585594"/>
    <w:rsid w:val="00586630"/>
    <w:rsid w:val="00587ADD"/>
    <w:rsid w:val="00591E27"/>
    <w:rsid w:val="0059384E"/>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0E67"/>
    <w:rsid w:val="005D4171"/>
    <w:rsid w:val="005D6A95"/>
    <w:rsid w:val="005D6B2C"/>
    <w:rsid w:val="005D6D9C"/>
    <w:rsid w:val="005E2335"/>
    <w:rsid w:val="005E34CA"/>
    <w:rsid w:val="005E3C18"/>
    <w:rsid w:val="005E51F2"/>
    <w:rsid w:val="005E676B"/>
    <w:rsid w:val="005E6812"/>
    <w:rsid w:val="005E748E"/>
    <w:rsid w:val="005E7881"/>
    <w:rsid w:val="005E78E0"/>
    <w:rsid w:val="005F0D9C"/>
    <w:rsid w:val="005F284E"/>
    <w:rsid w:val="005F46BF"/>
    <w:rsid w:val="005F4712"/>
    <w:rsid w:val="006015CE"/>
    <w:rsid w:val="0060190A"/>
    <w:rsid w:val="00604784"/>
    <w:rsid w:val="00606419"/>
    <w:rsid w:val="00607D29"/>
    <w:rsid w:val="00612952"/>
    <w:rsid w:val="00614CC1"/>
    <w:rsid w:val="00615A9D"/>
    <w:rsid w:val="00617387"/>
    <w:rsid w:val="006205D6"/>
    <w:rsid w:val="006252D8"/>
    <w:rsid w:val="006259BC"/>
    <w:rsid w:val="0062636B"/>
    <w:rsid w:val="00626951"/>
    <w:rsid w:val="00632182"/>
    <w:rsid w:val="00632AE0"/>
    <w:rsid w:val="00633C17"/>
    <w:rsid w:val="00634D9E"/>
    <w:rsid w:val="006351A9"/>
    <w:rsid w:val="00636ADD"/>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56EE1"/>
    <w:rsid w:val="00657BB8"/>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5D22"/>
    <w:rsid w:val="00697D89"/>
    <w:rsid w:val="006A07AA"/>
    <w:rsid w:val="006A25E5"/>
    <w:rsid w:val="006A2B46"/>
    <w:rsid w:val="006A336D"/>
    <w:rsid w:val="006A37B9"/>
    <w:rsid w:val="006B2672"/>
    <w:rsid w:val="006B47E7"/>
    <w:rsid w:val="006B54BF"/>
    <w:rsid w:val="006B59F4"/>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D6C35"/>
    <w:rsid w:val="006E0E7C"/>
    <w:rsid w:val="006E23EA"/>
    <w:rsid w:val="006F03A8"/>
    <w:rsid w:val="006F07C5"/>
    <w:rsid w:val="006F2ACA"/>
    <w:rsid w:val="006F2ADC"/>
    <w:rsid w:val="006F2BFE"/>
    <w:rsid w:val="006F31E9"/>
    <w:rsid w:val="006F6284"/>
    <w:rsid w:val="006F71F3"/>
    <w:rsid w:val="007002C5"/>
    <w:rsid w:val="00700D98"/>
    <w:rsid w:val="00700EA3"/>
    <w:rsid w:val="00702AAE"/>
    <w:rsid w:val="00704387"/>
    <w:rsid w:val="00707669"/>
    <w:rsid w:val="00711CBA"/>
    <w:rsid w:val="00711FB5"/>
    <w:rsid w:val="00712A01"/>
    <w:rsid w:val="00714F58"/>
    <w:rsid w:val="00722FBF"/>
    <w:rsid w:val="00722FC2"/>
    <w:rsid w:val="00724879"/>
    <w:rsid w:val="00724E1B"/>
    <w:rsid w:val="00725949"/>
    <w:rsid w:val="00727FA2"/>
    <w:rsid w:val="007322D9"/>
    <w:rsid w:val="00732BC0"/>
    <w:rsid w:val="00734AA8"/>
    <w:rsid w:val="00736F62"/>
    <w:rsid w:val="0073720F"/>
    <w:rsid w:val="00737796"/>
    <w:rsid w:val="0074165C"/>
    <w:rsid w:val="00742C35"/>
    <w:rsid w:val="007432CA"/>
    <w:rsid w:val="007439EB"/>
    <w:rsid w:val="00743CB4"/>
    <w:rsid w:val="00743F0A"/>
    <w:rsid w:val="007444E8"/>
    <w:rsid w:val="0074548E"/>
    <w:rsid w:val="00745773"/>
    <w:rsid w:val="00746800"/>
    <w:rsid w:val="007501A8"/>
    <w:rsid w:val="00750857"/>
    <w:rsid w:val="00750D61"/>
    <w:rsid w:val="00750EE1"/>
    <w:rsid w:val="00752B4D"/>
    <w:rsid w:val="00755402"/>
    <w:rsid w:val="00756937"/>
    <w:rsid w:val="00756B26"/>
    <w:rsid w:val="00756EDF"/>
    <w:rsid w:val="007600E3"/>
    <w:rsid w:val="007648B6"/>
    <w:rsid w:val="00765C43"/>
    <w:rsid w:val="00765EFB"/>
    <w:rsid w:val="007671CA"/>
    <w:rsid w:val="00767C61"/>
    <w:rsid w:val="0077008A"/>
    <w:rsid w:val="00773C1F"/>
    <w:rsid w:val="00774DA4"/>
    <w:rsid w:val="00776599"/>
    <w:rsid w:val="00777290"/>
    <w:rsid w:val="0078114B"/>
    <w:rsid w:val="00781DD2"/>
    <w:rsid w:val="00783ECF"/>
    <w:rsid w:val="0078413A"/>
    <w:rsid w:val="007959E8"/>
    <w:rsid w:val="00795E9C"/>
    <w:rsid w:val="007A0521"/>
    <w:rsid w:val="007A2D9F"/>
    <w:rsid w:val="007A2E12"/>
    <w:rsid w:val="007A3475"/>
    <w:rsid w:val="007A41C8"/>
    <w:rsid w:val="007A54CE"/>
    <w:rsid w:val="007A6FD9"/>
    <w:rsid w:val="007A7FFA"/>
    <w:rsid w:val="007B04EB"/>
    <w:rsid w:val="007B0D4F"/>
    <w:rsid w:val="007B5A3D"/>
    <w:rsid w:val="007B5B95"/>
    <w:rsid w:val="007B68EA"/>
    <w:rsid w:val="007B7453"/>
    <w:rsid w:val="007C1E8B"/>
    <w:rsid w:val="007C2834"/>
    <w:rsid w:val="007C2D89"/>
    <w:rsid w:val="007C4593"/>
    <w:rsid w:val="007C5309"/>
    <w:rsid w:val="007C6069"/>
    <w:rsid w:val="007D06C4"/>
    <w:rsid w:val="007D1287"/>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067"/>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3B78"/>
    <w:rsid w:val="008B4AC4"/>
    <w:rsid w:val="008B50C8"/>
    <w:rsid w:val="008B5281"/>
    <w:rsid w:val="008B590A"/>
    <w:rsid w:val="008B7E05"/>
    <w:rsid w:val="008C1797"/>
    <w:rsid w:val="008C219C"/>
    <w:rsid w:val="008C25BA"/>
    <w:rsid w:val="008C475E"/>
    <w:rsid w:val="008C619A"/>
    <w:rsid w:val="008C74D6"/>
    <w:rsid w:val="008C7E2D"/>
    <w:rsid w:val="008D0CE8"/>
    <w:rsid w:val="008D2D1D"/>
    <w:rsid w:val="008D453D"/>
    <w:rsid w:val="008D53AD"/>
    <w:rsid w:val="008D562B"/>
    <w:rsid w:val="008D5733"/>
    <w:rsid w:val="008D622B"/>
    <w:rsid w:val="008D666C"/>
    <w:rsid w:val="008D7B54"/>
    <w:rsid w:val="008E06A5"/>
    <w:rsid w:val="008E0C9D"/>
    <w:rsid w:val="008E1648"/>
    <w:rsid w:val="008E1B3E"/>
    <w:rsid w:val="008E2319"/>
    <w:rsid w:val="008E44EB"/>
    <w:rsid w:val="008E4BB6"/>
    <w:rsid w:val="008E5518"/>
    <w:rsid w:val="008E6A84"/>
    <w:rsid w:val="008F0CDC"/>
    <w:rsid w:val="008F17A3"/>
    <w:rsid w:val="008F1CD8"/>
    <w:rsid w:val="008F1ED3"/>
    <w:rsid w:val="008F23A5"/>
    <w:rsid w:val="008F4C29"/>
    <w:rsid w:val="008F70BD"/>
    <w:rsid w:val="008F788F"/>
    <w:rsid w:val="008F7EA2"/>
    <w:rsid w:val="00900DB9"/>
    <w:rsid w:val="00902722"/>
    <w:rsid w:val="009027BC"/>
    <w:rsid w:val="009062E6"/>
    <w:rsid w:val="00911BE5"/>
    <w:rsid w:val="00913CA9"/>
    <w:rsid w:val="009145AE"/>
    <w:rsid w:val="009146CE"/>
    <w:rsid w:val="00914CA7"/>
    <w:rsid w:val="00915C3E"/>
    <w:rsid w:val="009161A8"/>
    <w:rsid w:val="009161B8"/>
    <w:rsid w:val="00917065"/>
    <w:rsid w:val="009245F5"/>
    <w:rsid w:val="009249EC"/>
    <w:rsid w:val="009273B3"/>
    <w:rsid w:val="009305B5"/>
    <w:rsid w:val="009368CC"/>
    <w:rsid w:val="009429D5"/>
    <w:rsid w:val="00942BF1"/>
    <w:rsid w:val="00945180"/>
    <w:rsid w:val="00945428"/>
    <w:rsid w:val="0094607B"/>
    <w:rsid w:val="00950D03"/>
    <w:rsid w:val="00953604"/>
    <w:rsid w:val="0095403B"/>
    <w:rsid w:val="0095496B"/>
    <w:rsid w:val="009610DC"/>
    <w:rsid w:val="00961490"/>
    <w:rsid w:val="0096381A"/>
    <w:rsid w:val="00965E04"/>
    <w:rsid w:val="009674AD"/>
    <w:rsid w:val="00970CDC"/>
    <w:rsid w:val="00977010"/>
    <w:rsid w:val="00977D02"/>
    <w:rsid w:val="009809BB"/>
    <w:rsid w:val="0098364B"/>
    <w:rsid w:val="00987193"/>
    <w:rsid w:val="009906AD"/>
    <w:rsid w:val="009911AF"/>
    <w:rsid w:val="00991875"/>
    <w:rsid w:val="00991F92"/>
    <w:rsid w:val="00992985"/>
    <w:rsid w:val="00993889"/>
    <w:rsid w:val="0099551B"/>
    <w:rsid w:val="009969F8"/>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AA2"/>
    <w:rsid w:val="009C4CFA"/>
    <w:rsid w:val="009C5070"/>
    <w:rsid w:val="009C7243"/>
    <w:rsid w:val="009D112C"/>
    <w:rsid w:val="009D22BD"/>
    <w:rsid w:val="009D47FA"/>
    <w:rsid w:val="009D4BB1"/>
    <w:rsid w:val="009D4C5B"/>
    <w:rsid w:val="009D50D2"/>
    <w:rsid w:val="009D6BCA"/>
    <w:rsid w:val="009D77E0"/>
    <w:rsid w:val="009E0F62"/>
    <w:rsid w:val="009E4A58"/>
    <w:rsid w:val="009E5A2D"/>
    <w:rsid w:val="009E5AB2"/>
    <w:rsid w:val="009E6219"/>
    <w:rsid w:val="009E792F"/>
    <w:rsid w:val="009F03B3"/>
    <w:rsid w:val="009F2002"/>
    <w:rsid w:val="009F3BA7"/>
    <w:rsid w:val="009F6AF7"/>
    <w:rsid w:val="00A0096C"/>
    <w:rsid w:val="00A01757"/>
    <w:rsid w:val="00A028C0"/>
    <w:rsid w:val="00A02BAE"/>
    <w:rsid w:val="00A06A6B"/>
    <w:rsid w:val="00A07E47"/>
    <w:rsid w:val="00A129D0"/>
    <w:rsid w:val="00A12C33"/>
    <w:rsid w:val="00A1364B"/>
    <w:rsid w:val="00A138BA"/>
    <w:rsid w:val="00A13C18"/>
    <w:rsid w:val="00A14C8E"/>
    <w:rsid w:val="00A153D9"/>
    <w:rsid w:val="00A15F09"/>
    <w:rsid w:val="00A169B6"/>
    <w:rsid w:val="00A2271D"/>
    <w:rsid w:val="00A237D5"/>
    <w:rsid w:val="00A24A1C"/>
    <w:rsid w:val="00A30EFC"/>
    <w:rsid w:val="00A31984"/>
    <w:rsid w:val="00A32D73"/>
    <w:rsid w:val="00A3367B"/>
    <w:rsid w:val="00A3597D"/>
    <w:rsid w:val="00A36DD1"/>
    <w:rsid w:val="00A37CE1"/>
    <w:rsid w:val="00A4006C"/>
    <w:rsid w:val="00A40091"/>
    <w:rsid w:val="00A4030F"/>
    <w:rsid w:val="00A41C79"/>
    <w:rsid w:val="00A41CB5"/>
    <w:rsid w:val="00A42CDF"/>
    <w:rsid w:val="00A4452E"/>
    <w:rsid w:val="00A4472C"/>
    <w:rsid w:val="00A44E69"/>
    <w:rsid w:val="00A4661E"/>
    <w:rsid w:val="00A51C9A"/>
    <w:rsid w:val="00A55BD6"/>
    <w:rsid w:val="00A55D50"/>
    <w:rsid w:val="00A57142"/>
    <w:rsid w:val="00A648CD"/>
    <w:rsid w:val="00A6537A"/>
    <w:rsid w:val="00A67866"/>
    <w:rsid w:val="00A70B07"/>
    <w:rsid w:val="00A723F8"/>
    <w:rsid w:val="00A761BE"/>
    <w:rsid w:val="00A77CCB"/>
    <w:rsid w:val="00A83D8D"/>
    <w:rsid w:val="00A8446B"/>
    <w:rsid w:val="00A8473F"/>
    <w:rsid w:val="00A85F55"/>
    <w:rsid w:val="00A86166"/>
    <w:rsid w:val="00A862D6"/>
    <w:rsid w:val="00A8715E"/>
    <w:rsid w:val="00A9295B"/>
    <w:rsid w:val="00A931FB"/>
    <w:rsid w:val="00A93B09"/>
    <w:rsid w:val="00A94247"/>
    <w:rsid w:val="00A952D7"/>
    <w:rsid w:val="00A96006"/>
    <w:rsid w:val="00A963F7"/>
    <w:rsid w:val="00A96AD8"/>
    <w:rsid w:val="00A97C37"/>
    <w:rsid w:val="00AA052C"/>
    <w:rsid w:val="00AA1E45"/>
    <w:rsid w:val="00AA4286"/>
    <w:rsid w:val="00AA456B"/>
    <w:rsid w:val="00AA4AA2"/>
    <w:rsid w:val="00AA57F5"/>
    <w:rsid w:val="00AA672E"/>
    <w:rsid w:val="00AA6EC9"/>
    <w:rsid w:val="00AB41D5"/>
    <w:rsid w:val="00AB6309"/>
    <w:rsid w:val="00AB6541"/>
    <w:rsid w:val="00AB6C5F"/>
    <w:rsid w:val="00AB7129"/>
    <w:rsid w:val="00AC0E64"/>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134"/>
    <w:rsid w:val="00AE372E"/>
    <w:rsid w:val="00AE37E5"/>
    <w:rsid w:val="00AE427E"/>
    <w:rsid w:val="00AE5EB4"/>
    <w:rsid w:val="00AF0C18"/>
    <w:rsid w:val="00AF47C5"/>
    <w:rsid w:val="00AF5398"/>
    <w:rsid w:val="00B0419E"/>
    <w:rsid w:val="00B049AF"/>
    <w:rsid w:val="00B07242"/>
    <w:rsid w:val="00B10534"/>
    <w:rsid w:val="00B113DB"/>
    <w:rsid w:val="00B11D8A"/>
    <w:rsid w:val="00B12981"/>
    <w:rsid w:val="00B147DD"/>
    <w:rsid w:val="00B156FD"/>
    <w:rsid w:val="00B207AC"/>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6AF0"/>
    <w:rsid w:val="00B47293"/>
    <w:rsid w:val="00B504C6"/>
    <w:rsid w:val="00B50E50"/>
    <w:rsid w:val="00B52120"/>
    <w:rsid w:val="00B52D5E"/>
    <w:rsid w:val="00B54ABC"/>
    <w:rsid w:val="00B54DDE"/>
    <w:rsid w:val="00B5625C"/>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A7ED0"/>
    <w:rsid w:val="00BA7FC0"/>
    <w:rsid w:val="00BB203B"/>
    <w:rsid w:val="00BB5F8F"/>
    <w:rsid w:val="00BB657A"/>
    <w:rsid w:val="00BC1A4E"/>
    <w:rsid w:val="00BC4790"/>
    <w:rsid w:val="00BC5DC7"/>
    <w:rsid w:val="00BC6B8B"/>
    <w:rsid w:val="00BC73D8"/>
    <w:rsid w:val="00BD52D7"/>
    <w:rsid w:val="00BD5AD2"/>
    <w:rsid w:val="00BE22F3"/>
    <w:rsid w:val="00BE2D20"/>
    <w:rsid w:val="00BE5B52"/>
    <w:rsid w:val="00BE7B8D"/>
    <w:rsid w:val="00BF0993"/>
    <w:rsid w:val="00BF10A9"/>
    <w:rsid w:val="00BF1703"/>
    <w:rsid w:val="00BF231C"/>
    <w:rsid w:val="00BF51E5"/>
    <w:rsid w:val="00BF74A6"/>
    <w:rsid w:val="00C013AD"/>
    <w:rsid w:val="00C04904"/>
    <w:rsid w:val="00C056B3"/>
    <w:rsid w:val="00C103E5"/>
    <w:rsid w:val="00C124D8"/>
    <w:rsid w:val="00C13319"/>
    <w:rsid w:val="00C13EE9"/>
    <w:rsid w:val="00C20F55"/>
    <w:rsid w:val="00C21540"/>
    <w:rsid w:val="00C21906"/>
    <w:rsid w:val="00C21BFA"/>
    <w:rsid w:val="00C22148"/>
    <w:rsid w:val="00C2296C"/>
    <w:rsid w:val="00C24C8D"/>
    <w:rsid w:val="00C25FE2"/>
    <w:rsid w:val="00C26B53"/>
    <w:rsid w:val="00C279B2"/>
    <w:rsid w:val="00C31E4A"/>
    <w:rsid w:val="00C33E50"/>
    <w:rsid w:val="00C34A8A"/>
    <w:rsid w:val="00C34C20"/>
    <w:rsid w:val="00C35A3E"/>
    <w:rsid w:val="00C37B1D"/>
    <w:rsid w:val="00C42130"/>
    <w:rsid w:val="00C423A4"/>
    <w:rsid w:val="00C44BF5"/>
    <w:rsid w:val="00C51D6A"/>
    <w:rsid w:val="00C521D6"/>
    <w:rsid w:val="00C55232"/>
    <w:rsid w:val="00C553A4"/>
    <w:rsid w:val="00C55A06"/>
    <w:rsid w:val="00C55D03"/>
    <w:rsid w:val="00C55EF5"/>
    <w:rsid w:val="00C601BC"/>
    <w:rsid w:val="00C6329F"/>
    <w:rsid w:val="00C63340"/>
    <w:rsid w:val="00C643F9"/>
    <w:rsid w:val="00C64E95"/>
    <w:rsid w:val="00C71372"/>
    <w:rsid w:val="00C72410"/>
    <w:rsid w:val="00C7287F"/>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B55CB"/>
    <w:rsid w:val="00CC038D"/>
    <w:rsid w:val="00CC08DB"/>
    <w:rsid w:val="00CC293E"/>
    <w:rsid w:val="00CC39FF"/>
    <w:rsid w:val="00CC3BB7"/>
    <w:rsid w:val="00CC3C2F"/>
    <w:rsid w:val="00CC4AC8"/>
    <w:rsid w:val="00CC5233"/>
    <w:rsid w:val="00CC5DE6"/>
    <w:rsid w:val="00CC6E4E"/>
    <w:rsid w:val="00CC6FE8"/>
    <w:rsid w:val="00CC7202"/>
    <w:rsid w:val="00CD2808"/>
    <w:rsid w:val="00CD28BF"/>
    <w:rsid w:val="00CD4092"/>
    <w:rsid w:val="00CD4A20"/>
    <w:rsid w:val="00CD4E5C"/>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3660F"/>
    <w:rsid w:val="00D4162B"/>
    <w:rsid w:val="00D42C98"/>
    <w:rsid w:val="00D4514F"/>
    <w:rsid w:val="00D451E2"/>
    <w:rsid w:val="00D45E89"/>
    <w:rsid w:val="00D45E8D"/>
    <w:rsid w:val="00D466AE"/>
    <w:rsid w:val="00D4734F"/>
    <w:rsid w:val="00D47A14"/>
    <w:rsid w:val="00D50805"/>
    <w:rsid w:val="00D51BF3"/>
    <w:rsid w:val="00D66846"/>
    <w:rsid w:val="00D675FB"/>
    <w:rsid w:val="00D71F25"/>
    <w:rsid w:val="00D72A9C"/>
    <w:rsid w:val="00D77031"/>
    <w:rsid w:val="00D835B9"/>
    <w:rsid w:val="00D84941"/>
    <w:rsid w:val="00D84FA1"/>
    <w:rsid w:val="00D851F0"/>
    <w:rsid w:val="00D86DB7"/>
    <w:rsid w:val="00D926D0"/>
    <w:rsid w:val="00D93030"/>
    <w:rsid w:val="00D950E1"/>
    <w:rsid w:val="00D952A6"/>
    <w:rsid w:val="00D96682"/>
    <w:rsid w:val="00D97290"/>
    <w:rsid w:val="00D97F99"/>
    <w:rsid w:val="00DA0BE7"/>
    <w:rsid w:val="00DA1E08"/>
    <w:rsid w:val="00DA24F8"/>
    <w:rsid w:val="00DA28E8"/>
    <w:rsid w:val="00DA38D3"/>
    <w:rsid w:val="00DA3932"/>
    <w:rsid w:val="00DA3AFC"/>
    <w:rsid w:val="00DA5191"/>
    <w:rsid w:val="00DA64F8"/>
    <w:rsid w:val="00DA6C15"/>
    <w:rsid w:val="00DB0258"/>
    <w:rsid w:val="00DB2FBD"/>
    <w:rsid w:val="00DB38EE"/>
    <w:rsid w:val="00DB498B"/>
    <w:rsid w:val="00DB66CA"/>
    <w:rsid w:val="00DB6BA8"/>
    <w:rsid w:val="00DB6BCA"/>
    <w:rsid w:val="00DB73F7"/>
    <w:rsid w:val="00DC0321"/>
    <w:rsid w:val="00DC3067"/>
    <w:rsid w:val="00DC370B"/>
    <w:rsid w:val="00DC5B90"/>
    <w:rsid w:val="00DD00FF"/>
    <w:rsid w:val="00DD0619"/>
    <w:rsid w:val="00DD07FB"/>
    <w:rsid w:val="00DD1E71"/>
    <w:rsid w:val="00DD25C6"/>
    <w:rsid w:val="00DD4FE5"/>
    <w:rsid w:val="00DD54B0"/>
    <w:rsid w:val="00DD57EE"/>
    <w:rsid w:val="00DD6B8E"/>
    <w:rsid w:val="00DD6BCC"/>
    <w:rsid w:val="00DE0A4B"/>
    <w:rsid w:val="00DE0C3D"/>
    <w:rsid w:val="00DE2410"/>
    <w:rsid w:val="00DE2939"/>
    <w:rsid w:val="00DE6E81"/>
    <w:rsid w:val="00DE703F"/>
    <w:rsid w:val="00DE7595"/>
    <w:rsid w:val="00DF1961"/>
    <w:rsid w:val="00DF2325"/>
    <w:rsid w:val="00DF44DE"/>
    <w:rsid w:val="00DF5F11"/>
    <w:rsid w:val="00E01138"/>
    <w:rsid w:val="00E02DFB"/>
    <w:rsid w:val="00E030F9"/>
    <w:rsid w:val="00E0311A"/>
    <w:rsid w:val="00E03138"/>
    <w:rsid w:val="00E06404"/>
    <w:rsid w:val="00E065D2"/>
    <w:rsid w:val="00E11A85"/>
    <w:rsid w:val="00E12495"/>
    <w:rsid w:val="00E13327"/>
    <w:rsid w:val="00E15CCD"/>
    <w:rsid w:val="00E202EF"/>
    <w:rsid w:val="00E210B5"/>
    <w:rsid w:val="00E23D99"/>
    <w:rsid w:val="00E2552F"/>
    <w:rsid w:val="00E3137A"/>
    <w:rsid w:val="00E32CCF"/>
    <w:rsid w:val="00E34A98"/>
    <w:rsid w:val="00E34D7F"/>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796"/>
    <w:rsid w:val="00E62FF9"/>
    <w:rsid w:val="00E635D6"/>
    <w:rsid w:val="00E639BC"/>
    <w:rsid w:val="00E64CC7"/>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2561"/>
    <w:rsid w:val="00E9311F"/>
    <w:rsid w:val="00E934D1"/>
    <w:rsid w:val="00E94AF0"/>
    <w:rsid w:val="00E95D13"/>
    <w:rsid w:val="00E95DD3"/>
    <w:rsid w:val="00E969D5"/>
    <w:rsid w:val="00E9731F"/>
    <w:rsid w:val="00EA434D"/>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D5606"/>
    <w:rsid w:val="00ED5B63"/>
    <w:rsid w:val="00EE0350"/>
    <w:rsid w:val="00EE0719"/>
    <w:rsid w:val="00EE0E80"/>
    <w:rsid w:val="00EE54A6"/>
    <w:rsid w:val="00EE613F"/>
    <w:rsid w:val="00EE7295"/>
    <w:rsid w:val="00EE7869"/>
    <w:rsid w:val="00EF054A"/>
    <w:rsid w:val="00EF3235"/>
    <w:rsid w:val="00EF78B8"/>
    <w:rsid w:val="00EF7E72"/>
    <w:rsid w:val="00F048B4"/>
    <w:rsid w:val="00F06D37"/>
    <w:rsid w:val="00F07B9D"/>
    <w:rsid w:val="00F11586"/>
    <w:rsid w:val="00F1183B"/>
    <w:rsid w:val="00F11C9F"/>
    <w:rsid w:val="00F12263"/>
    <w:rsid w:val="00F1409D"/>
    <w:rsid w:val="00F14214"/>
    <w:rsid w:val="00F157A9"/>
    <w:rsid w:val="00F173F2"/>
    <w:rsid w:val="00F25BB6"/>
    <w:rsid w:val="00F26B7E"/>
    <w:rsid w:val="00F27A3B"/>
    <w:rsid w:val="00F314CF"/>
    <w:rsid w:val="00F33817"/>
    <w:rsid w:val="00F420D5"/>
    <w:rsid w:val="00F451EA"/>
    <w:rsid w:val="00F45447"/>
    <w:rsid w:val="00F456C6"/>
    <w:rsid w:val="00F4577B"/>
    <w:rsid w:val="00F46496"/>
    <w:rsid w:val="00F474D0"/>
    <w:rsid w:val="00F50179"/>
    <w:rsid w:val="00F515EE"/>
    <w:rsid w:val="00F56511"/>
    <w:rsid w:val="00F6194E"/>
    <w:rsid w:val="00F623AC"/>
    <w:rsid w:val="00F63B24"/>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0D77"/>
    <w:rsid w:val="00FA4DAC"/>
    <w:rsid w:val="00FA662D"/>
    <w:rsid w:val="00FA73B1"/>
    <w:rsid w:val="00FB0CB9"/>
    <w:rsid w:val="00FB231D"/>
    <w:rsid w:val="00FB3C70"/>
    <w:rsid w:val="00FB4103"/>
    <w:rsid w:val="00FB45F1"/>
    <w:rsid w:val="00FB4A72"/>
    <w:rsid w:val="00FB54E8"/>
    <w:rsid w:val="00FB68F6"/>
    <w:rsid w:val="00FB7054"/>
    <w:rsid w:val="00FC17B7"/>
    <w:rsid w:val="00FC2CB7"/>
    <w:rsid w:val="00FC4090"/>
    <w:rsid w:val="00FC55B4"/>
    <w:rsid w:val="00FD00E6"/>
    <w:rsid w:val="00FD09A1"/>
    <w:rsid w:val="00FD2A7C"/>
    <w:rsid w:val="00FD3F87"/>
    <w:rsid w:val="00FD59EB"/>
    <w:rsid w:val="00FD5D49"/>
    <w:rsid w:val="00FD7299"/>
    <w:rsid w:val="00FE1FBE"/>
    <w:rsid w:val="00FE353C"/>
    <w:rsid w:val="00FE3901"/>
    <w:rsid w:val="00FE39D3"/>
    <w:rsid w:val="00FE4BCE"/>
    <w:rsid w:val="00FE54AE"/>
    <w:rsid w:val="00FE576A"/>
    <w:rsid w:val="00FE7E79"/>
    <w:rsid w:val="00FF3E7D"/>
    <w:rsid w:val="00FF5AD5"/>
    <w:rsid w:val="00FF5B99"/>
    <w:rsid w:val="00FF730C"/>
    <w:rsid w:val="00FF73F4"/>
    <w:rsid w:val="00FF7CE4"/>
    <w:rsid w:val="00FF7E39"/>
    <w:rsid w:val="23374BDC"/>
    <w:rsid w:val="2B92095A"/>
    <w:rsid w:val="36FB77C2"/>
    <w:rsid w:val="3A3E27D3"/>
    <w:rsid w:val="50646C06"/>
    <w:rsid w:val="5C095AF3"/>
    <w:rsid w:val="6B434577"/>
    <w:rsid w:val="786C5D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5B384E8E-EBBA-4E85-83F5-4569F98D1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pPr>
      <w:widowControl w:val="0"/>
      <w:adjustRightInd w:val="0"/>
      <w:spacing w:line="400" w:lineRule="exact"/>
      <w:jc w:val="both"/>
    </w:pPr>
    <w:rPr>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1">
    <w:name w:val="toc 7"/>
    <w:basedOn w:val="afff5"/>
    <w:next w:val="afff5"/>
    <w:autoRedefine/>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51">
    <w:name w:val="toc 5"/>
    <w:basedOn w:val="afff5"/>
    <w:next w:val="afff5"/>
    <w:autoRedefine/>
    <w:uiPriority w:val="39"/>
    <w:unhideWhenUsed/>
    <w:qFormat/>
    <w:pPr>
      <w:ind w:left="839"/>
    </w:pPr>
    <w:rPr>
      <w:rFonts w:ascii="宋体"/>
    </w:rPr>
  </w:style>
  <w:style w:type="paragraph" w:styleId="31">
    <w:name w:val="toc 3"/>
    <w:basedOn w:val="afff5"/>
    <w:next w:val="afff5"/>
    <w:autoRedefine/>
    <w:uiPriority w:val="39"/>
    <w:unhideWhenUsed/>
    <w:qFormat/>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11">
    <w:name w:val="toc 1"/>
    <w:basedOn w:val="afff5"/>
    <w:next w:val="afff5"/>
    <w:autoRedefine/>
    <w:uiPriority w:val="39"/>
    <w:unhideWhenUsed/>
    <w:qFormat/>
    <w:rPr>
      <w:rFonts w:ascii="宋体"/>
    </w:rPr>
  </w:style>
  <w:style w:type="paragraph" w:styleId="41">
    <w:name w:val="toc 4"/>
    <w:basedOn w:val="afff5"/>
    <w:next w:val="afff5"/>
    <w:autoRedefine/>
    <w:uiPriority w:val="39"/>
    <w:unhideWhenUsed/>
    <w:qFormat/>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5"/>
    <w:next w:val="afff5"/>
    <w:autoRedefine/>
    <w:uiPriority w:val="39"/>
    <w:unhideWhenUsed/>
    <w:qFormat/>
    <w:pPr>
      <w:spacing w:line="300" w:lineRule="exact"/>
      <w:ind w:left="1049"/>
    </w:pPr>
    <w:rPr>
      <w:rFonts w:ascii="宋体"/>
    </w:rPr>
  </w:style>
  <w:style w:type="paragraph" w:styleId="affff4">
    <w:name w:val="table of figures"/>
    <w:basedOn w:val="afff5"/>
    <w:next w:val="afff5"/>
    <w:semiHidden/>
    <w:qFormat/>
    <w:pPr>
      <w:adjustRightInd/>
      <w:spacing w:line="240" w:lineRule="auto"/>
      <w:jc w:val="left"/>
    </w:pPr>
    <w:rPr>
      <w:szCs w:val="24"/>
    </w:rPr>
  </w:style>
  <w:style w:type="paragraph" w:styleId="24">
    <w:name w:val="toc 2"/>
    <w:basedOn w:val="afff5"/>
    <w:next w:val="afff5"/>
    <w:autoRedefine/>
    <w:uiPriority w:val="39"/>
    <w:unhideWhenUsed/>
    <w:qFormat/>
    <w:pPr>
      <w:tabs>
        <w:tab w:val="right" w:leader="dot" w:pos="9344"/>
      </w:tabs>
      <w:spacing w:line="300" w:lineRule="exact"/>
      <w:ind w:left="210"/>
    </w:pPr>
    <w:rPr>
      <w:rFonts w:ascii="宋体"/>
    </w:rPr>
  </w:style>
  <w:style w:type="paragraph" w:styleId="affff5">
    <w:name w:val="Title"/>
    <w:basedOn w:val="afff5"/>
    <w:link w:val="affff6"/>
    <w:qFormat/>
    <w:pPr>
      <w:spacing w:before="240" w:after="60"/>
      <w:jc w:val="center"/>
      <w:outlineLvl w:val="0"/>
    </w:pPr>
    <w:rPr>
      <w:rFonts w:ascii="Arial" w:hAnsi="Arial" w:cs="Arial"/>
      <w:b/>
      <w:bCs/>
      <w:sz w:val="32"/>
      <w:szCs w:val="32"/>
    </w:rPr>
  </w:style>
  <w:style w:type="table" w:styleId="affff7">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8">
    <w:name w:val="Strong"/>
    <w:uiPriority w:val="22"/>
    <w:qFormat/>
    <w:rPr>
      <w:b/>
      <w:bCs/>
    </w:rPr>
  </w:style>
  <w:style w:type="character" w:styleId="affff9">
    <w:name w:val="page number"/>
    <w:qFormat/>
    <w:rPr>
      <w:rFonts w:ascii="宋体" w:eastAsia="宋体" w:hAnsi="Times New Roman"/>
      <w:sz w:val="18"/>
    </w:rPr>
  </w:style>
  <w:style w:type="character" w:styleId="affffa">
    <w:name w:val="Emphasis"/>
    <w:uiPriority w:val="20"/>
    <w:qFormat/>
    <w:rPr>
      <w:i/>
      <w:iCs/>
    </w:rPr>
  </w:style>
  <w:style w:type="character" w:styleId="affffb">
    <w:name w:val="Hyperlink"/>
    <w:uiPriority w:val="99"/>
    <w:qFormat/>
    <w:rPr>
      <w:rFonts w:ascii="宋体" w:eastAsia="宋体" w:hAnsi="Times New Roman"/>
      <w:color w:val="auto"/>
      <w:spacing w:val="0"/>
      <w:w w:val="100"/>
      <w:position w:val="0"/>
      <w:sz w:val="21"/>
      <w:u w:val="none"/>
      <w:vertAlign w:val="baseline"/>
    </w:rPr>
  </w:style>
  <w:style w:type="character" w:styleId="affffc">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1">
    <w:name w:val="页眉 字符"/>
    <w:link w:val="affff0"/>
    <w:uiPriority w:val="99"/>
    <w:qFormat/>
    <w:rPr>
      <w:kern w:val="2"/>
      <w:sz w:val="18"/>
      <w:szCs w:val="18"/>
    </w:rPr>
  </w:style>
  <w:style w:type="character" w:customStyle="1" w:styleId="affff">
    <w:name w:val="页脚 字符"/>
    <w:link w:val="afffe"/>
    <w:uiPriority w:val="99"/>
    <w:qFormat/>
    <w:rPr>
      <w:rFonts w:ascii="宋体"/>
      <w:kern w:val="2"/>
      <w:sz w:val="18"/>
      <w:szCs w:val="18"/>
    </w:rPr>
  </w:style>
  <w:style w:type="character" w:customStyle="1" w:styleId="afffd">
    <w:name w:val="批注框文本 字符"/>
    <w:link w:val="afffc"/>
    <w:uiPriority w:val="99"/>
    <w:semiHidden/>
    <w:qFormat/>
    <w:rPr>
      <w:kern w:val="2"/>
      <w:sz w:val="18"/>
      <w:szCs w:val="18"/>
    </w:rPr>
  </w:style>
  <w:style w:type="paragraph" w:styleId="affffd">
    <w:name w:val="Quote"/>
    <w:basedOn w:val="afff5"/>
    <w:next w:val="afff5"/>
    <w:link w:val="affffe"/>
    <w:uiPriority w:val="29"/>
    <w:qFormat/>
    <w:rPr>
      <w:i/>
      <w:iCs/>
      <w:color w:val="000000"/>
    </w:rPr>
  </w:style>
  <w:style w:type="character" w:customStyle="1" w:styleId="affffe">
    <w:name w:val="引用 字符"/>
    <w:link w:val="affffd"/>
    <w:uiPriority w:val="29"/>
    <w:qFormat/>
    <w:rPr>
      <w:i/>
      <w:iCs/>
      <w:color w:val="000000"/>
      <w:kern w:val="2"/>
      <w:sz w:val="21"/>
      <w:szCs w:val="21"/>
    </w:rPr>
  </w:style>
  <w:style w:type="character" w:customStyle="1" w:styleId="affff6">
    <w:name w:val="标题 字符"/>
    <w:link w:val="affff5"/>
    <w:qFormat/>
    <w:rPr>
      <w:rFonts w:ascii="Arial" w:hAnsi="Arial" w:cs="Arial"/>
      <w:b/>
      <w:bCs/>
      <w:kern w:val="2"/>
      <w:sz w:val="32"/>
      <w:szCs w:val="32"/>
    </w:rPr>
  </w:style>
  <w:style w:type="paragraph" w:customStyle="1" w:styleId="afffff">
    <w:name w:val="标准标志"/>
    <w:next w:val="afff5"/>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0">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1">
    <w:name w:val="标准文件_页脚偶数页"/>
    <w:qFormat/>
    <w:pPr>
      <w:ind w:left="198"/>
    </w:pPr>
    <w:rPr>
      <w:rFonts w:ascii="宋体" w:hAnsi="Times New Roman"/>
      <w:sz w:val="18"/>
    </w:rPr>
  </w:style>
  <w:style w:type="paragraph" w:customStyle="1" w:styleId="afffff2">
    <w:name w:val="标准文件_页脚奇数页"/>
    <w:qFormat/>
    <w:pPr>
      <w:ind w:right="227"/>
      <w:jc w:val="right"/>
    </w:pPr>
    <w:rPr>
      <w:rFonts w:ascii="宋体" w:hAnsi="Times New Roman"/>
      <w:sz w:val="18"/>
    </w:rPr>
  </w:style>
  <w:style w:type="paragraph" w:customStyle="1" w:styleId="afffff3">
    <w:name w:val="标准书眉一"/>
    <w:qFormat/>
    <w:pPr>
      <w:jc w:val="both"/>
    </w:pPr>
    <w:rPr>
      <w:rFonts w:ascii="Times New Roman" w:hAnsi="Times New Roman"/>
    </w:rPr>
  </w:style>
  <w:style w:type="paragraph" w:customStyle="1" w:styleId="ICS">
    <w:name w:val="标准文件_ICS"/>
    <w:basedOn w:val="afff5"/>
    <w:qFormat/>
    <w:pPr>
      <w:spacing w:line="0" w:lineRule="atLeast"/>
    </w:pPr>
    <w:rPr>
      <w:rFonts w:ascii="黑体" w:eastAsia="黑体" w:hAnsi="宋体"/>
    </w:rPr>
  </w:style>
  <w:style w:type="paragraph" w:customStyle="1" w:styleId="afffff4">
    <w:name w:val="标准文件_标准正文"/>
    <w:basedOn w:val="afff5"/>
    <w:next w:val="afffff5"/>
    <w:qFormat/>
    <w:pPr>
      <w:snapToGrid w:val="0"/>
      <w:ind w:firstLineChars="200" w:firstLine="200"/>
    </w:pPr>
    <w:rPr>
      <w:kern w:val="0"/>
    </w:rPr>
  </w:style>
  <w:style w:type="paragraph" w:customStyle="1" w:styleId="afffff5">
    <w:name w:val="标准文件_段"/>
    <w:link w:val="Char"/>
    <w:qFormat/>
    <w:pPr>
      <w:autoSpaceDE w:val="0"/>
      <w:autoSpaceDN w:val="0"/>
      <w:ind w:firstLineChars="200" w:firstLine="200"/>
      <w:jc w:val="both"/>
    </w:pPr>
    <w:rPr>
      <w:rFonts w:ascii="宋体" w:hAnsi="Times New Roman"/>
      <w:sz w:val="21"/>
    </w:rPr>
  </w:style>
  <w:style w:type="paragraph" w:customStyle="1" w:styleId="afffff6">
    <w:name w:val="标准文件_版本"/>
    <w:basedOn w:val="afffff4"/>
    <w:qFormat/>
    <w:pPr>
      <w:adjustRightInd/>
      <w:snapToGrid/>
      <w:ind w:firstLineChars="0" w:firstLine="0"/>
    </w:pPr>
    <w:rPr>
      <w:rFonts w:ascii="宋体" w:hAnsi="宋体"/>
      <w:kern w:val="2"/>
    </w:rPr>
  </w:style>
  <w:style w:type="paragraph" w:customStyle="1" w:styleId="afffff7">
    <w:name w:val="标准文件_标准部门"/>
    <w:basedOn w:val="afff5"/>
    <w:qFormat/>
    <w:pPr>
      <w:jc w:val="center"/>
    </w:pPr>
    <w:rPr>
      <w:rFonts w:ascii="黑体" w:eastAsia="黑体"/>
      <w:kern w:val="0"/>
      <w:sz w:val="44"/>
    </w:rPr>
  </w:style>
  <w:style w:type="paragraph" w:customStyle="1" w:styleId="afffff8">
    <w:name w:val="标准文件_标准代替"/>
    <w:basedOn w:val="afff5"/>
    <w:next w:val="afff5"/>
    <w:qFormat/>
    <w:pPr>
      <w:spacing w:line="310" w:lineRule="exact"/>
      <w:jc w:val="right"/>
    </w:pPr>
    <w:rPr>
      <w:rFonts w:ascii="宋体" w:hAnsi="宋体"/>
      <w:kern w:val="0"/>
    </w:rPr>
  </w:style>
  <w:style w:type="paragraph" w:customStyle="1" w:styleId="afffff9">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a">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b">
    <w:name w:val="标准文件_页眉偶数页"/>
    <w:basedOn w:val="afffffa"/>
    <w:next w:val="afff5"/>
    <w:qFormat/>
    <w:pPr>
      <w:jc w:val="left"/>
    </w:pPr>
  </w:style>
  <w:style w:type="paragraph" w:customStyle="1" w:styleId="afffffc">
    <w:name w:val="标准文件_参考文献标题"/>
    <w:basedOn w:val="afff5"/>
    <w:next w:val="afff5"/>
    <w:qFormat/>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hAnsi="Times New Roman"/>
    </w:rPr>
  </w:style>
  <w:style w:type="paragraph" w:customStyle="1" w:styleId="affe">
    <w:name w:val="标准文件_二级条标题"/>
    <w:next w:val="afffff5"/>
    <w:qFormat/>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d">
    <w:name w:val="标准文件_发布"/>
    <w:qFormat/>
    <w:rPr>
      <w:rFonts w:ascii="黑体" w:eastAsia="黑体"/>
      <w:spacing w:val="0"/>
      <w:w w:val="100"/>
      <w:position w:val="3"/>
      <w:sz w:val="28"/>
    </w:rPr>
  </w:style>
  <w:style w:type="paragraph" w:customStyle="1" w:styleId="ad">
    <w:name w:val="标准文件_方框数字列项"/>
    <w:basedOn w:val="afffff5"/>
    <w:qFormat/>
    <w:pPr>
      <w:numPr>
        <w:numId w:val="3"/>
      </w:numPr>
      <w:ind w:firstLineChars="0" w:firstLine="0"/>
    </w:pPr>
  </w:style>
  <w:style w:type="paragraph" w:customStyle="1" w:styleId="afffffe">
    <w:name w:val="标准文件_封面标准编号"/>
    <w:basedOn w:val="afff5"/>
    <w:next w:val="afffff8"/>
    <w:qFormat/>
    <w:pPr>
      <w:spacing w:line="310" w:lineRule="exact"/>
      <w:jc w:val="right"/>
    </w:pPr>
    <w:rPr>
      <w:rFonts w:ascii="黑体" w:eastAsia="黑体"/>
      <w:kern w:val="0"/>
      <w:sz w:val="28"/>
    </w:rPr>
  </w:style>
  <w:style w:type="paragraph" w:customStyle="1" w:styleId="affffff">
    <w:name w:val="标准文件_封面标准分类号"/>
    <w:basedOn w:val="afff5"/>
    <w:qFormat/>
    <w:rPr>
      <w:rFonts w:ascii="黑体" w:eastAsia="黑体"/>
      <w:b/>
      <w:kern w:val="0"/>
      <w:sz w:val="28"/>
    </w:rPr>
  </w:style>
  <w:style w:type="paragraph" w:customStyle="1" w:styleId="affffff0">
    <w:name w:val="标准文件_封面标准名称"/>
    <w:basedOn w:val="afff5"/>
    <w:qFormat/>
    <w:pPr>
      <w:spacing w:line="240" w:lineRule="auto"/>
      <w:jc w:val="center"/>
    </w:pPr>
    <w:rPr>
      <w:rFonts w:ascii="黑体" w:eastAsia="黑体"/>
      <w:kern w:val="0"/>
      <w:sz w:val="52"/>
    </w:rPr>
  </w:style>
  <w:style w:type="paragraph" w:customStyle="1" w:styleId="affffff1">
    <w:name w:val="标准文件_封面标准英文名称"/>
    <w:basedOn w:val="afff5"/>
    <w:qFormat/>
    <w:pPr>
      <w:spacing w:line="240" w:lineRule="auto"/>
      <w:jc w:val="center"/>
    </w:pPr>
    <w:rPr>
      <w:rFonts w:ascii="黑体" w:eastAsia="黑体"/>
      <w:b/>
      <w:sz w:val="28"/>
    </w:rPr>
  </w:style>
  <w:style w:type="paragraph" w:customStyle="1" w:styleId="affffff2">
    <w:name w:val="标准文件_封面发布日期"/>
    <w:basedOn w:val="afff5"/>
    <w:qFormat/>
    <w:pPr>
      <w:spacing w:line="310" w:lineRule="exact"/>
    </w:pPr>
    <w:rPr>
      <w:rFonts w:ascii="黑体" w:eastAsia="黑体"/>
      <w:kern w:val="0"/>
      <w:sz w:val="28"/>
    </w:rPr>
  </w:style>
  <w:style w:type="paragraph" w:customStyle="1" w:styleId="affffff3">
    <w:name w:val="标准文件_封面密级"/>
    <w:basedOn w:val="afff5"/>
    <w:qFormat/>
    <w:rPr>
      <w:rFonts w:eastAsia="黑体"/>
      <w:sz w:val="32"/>
    </w:rPr>
  </w:style>
  <w:style w:type="paragraph" w:customStyle="1" w:styleId="affffff4">
    <w:name w:val="标准文件_封面实施日期"/>
    <w:basedOn w:val="afff5"/>
    <w:qFormat/>
    <w:pPr>
      <w:spacing w:line="310" w:lineRule="exact"/>
      <w:jc w:val="right"/>
    </w:pPr>
    <w:rPr>
      <w:rFonts w:ascii="黑体" w:eastAsia="黑体"/>
      <w:sz w:val="28"/>
    </w:rPr>
  </w:style>
  <w:style w:type="paragraph" w:customStyle="1" w:styleId="affffff5">
    <w:name w:val="标准文件_封面抬头"/>
    <w:basedOn w:val="afffff5"/>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5"/>
    <w:qFormat/>
    <w:pPr>
      <w:numPr>
        <w:numId w:val="4"/>
      </w:numPr>
      <w:shd w:val="clear" w:color="FFFFFF" w:fill="FFFFFF"/>
      <w:tabs>
        <w:tab w:val="left" w:pos="6406"/>
      </w:tabs>
      <w:spacing w:before="560" w:afterLines="50" w:after="50"/>
      <w:jc w:val="center"/>
      <w:outlineLvl w:val="0"/>
    </w:pPr>
    <w:rPr>
      <w:rFonts w:ascii="黑体" w:eastAsia="黑体" w:hAnsi="Times New Roman"/>
      <w:sz w:val="21"/>
    </w:rPr>
  </w:style>
  <w:style w:type="paragraph" w:customStyle="1" w:styleId="aff">
    <w:name w:val="标准文件_附录表标题"/>
    <w:next w:val="afffff5"/>
    <w:qFormat/>
    <w:pPr>
      <w:numPr>
        <w:ilvl w:val="1"/>
        <w:numId w:val="5"/>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f5"/>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f5"/>
    <w:qFormat/>
    <w:pPr>
      <w:widowControl/>
      <w:numPr>
        <w:ilvl w:val="2"/>
      </w:numPr>
      <w:wordWrap w:val="0"/>
      <w:overflowPunct w:val="0"/>
      <w:autoSpaceDE w:val="0"/>
      <w:autoSpaceDN w:val="0"/>
      <w:textAlignment w:val="baseline"/>
      <w:outlineLvl w:val="3"/>
    </w:pPr>
  </w:style>
  <w:style w:type="paragraph" w:customStyle="1" w:styleId="affffff6">
    <w:name w:val="标准文件_附录公式"/>
    <w:basedOn w:val="afffff4"/>
    <w:next w:val="afffff4"/>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5"/>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f5"/>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f5"/>
    <w:qFormat/>
    <w:pPr>
      <w:numPr>
        <w:ilvl w:val="1"/>
        <w:numId w:val="6"/>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f5"/>
    <w:qFormat/>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a"/>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b">
    <w:name w:val="正文文本 字符"/>
    <w:link w:val="afffa"/>
    <w:qFormat/>
    <w:rPr>
      <w:kern w:val="2"/>
      <w:sz w:val="21"/>
      <w:szCs w:val="21"/>
    </w:rPr>
  </w:style>
  <w:style w:type="paragraph" w:customStyle="1" w:styleId="affffff7">
    <w:name w:val="标准文件_附录章标题"/>
    <w:next w:val="afffff5"/>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8">
    <w:name w:val="标准文件_公式后的破折号"/>
    <w:basedOn w:val="afffff5"/>
    <w:next w:val="afffff5"/>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hAnsi="Times New Roman"/>
      <w:sz w:val="32"/>
    </w:rPr>
  </w:style>
  <w:style w:type="paragraph" w:customStyle="1" w:styleId="affffff9">
    <w:name w:val="标准文件_目次、标准名称标题"/>
    <w:basedOn w:val="a6"/>
    <w:next w:val="afffff5"/>
    <w:qFormat/>
    <w:pPr>
      <w:spacing w:line="460" w:lineRule="exact"/>
      <w:ind w:left="0" w:firstLine="0"/>
    </w:pPr>
  </w:style>
  <w:style w:type="paragraph" w:customStyle="1" w:styleId="affffffa">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qFormat/>
    <w:pPr>
      <w:numPr>
        <w:numId w:val="10"/>
      </w:numPr>
    </w:pPr>
  </w:style>
  <w:style w:type="paragraph" w:customStyle="1" w:styleId="afff">
    <w:name w:val="标准文件_三级条标题"/>
    <w:basedOn w:val="affe"/>
    <w:next w:val="afffff5"/>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b">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5"/>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3">
    <w:name w:val="脚注文本 字符"/>
    <w:link w:val="affff2"/>
    <w:semiHidden/>
    <w:qFormat/>
    <w:rPr>
      <w:rFonts w:ascii="宋体"/>
      <w:kern w:val="2"/>
      <w:sz w:val="18"/>
      <w:szCs w:val="18"/>
    </w:rPr>
  </w:style>
  <w:style w:type="paragraph" w:customStyle="1" w:styleId="affffffc">
    <w:name w:val="标准文件_条文脚注"/>
    <w:basedOn w:val="affff2"/>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5"/>
    <w:qFormat/>
    <w:pPr>
      <w:numPr>
        <w:numId w:val="12"/>
      </w:numPr>
      <w:spacing w:line="240" w:lineRule="auto"/>
      <w:jc w:val="left"/>
    </w:pPr>
    <w:rPr>
      <w:rFonts w:ascii="宋体" w:hAnsi="宋体"/>
      <w:sz w:val="18"/>
    </w:rPr>
  </w:style>
  <w:style w:type="character" w:customStyle="1" w:styleId="affffffd">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5"/>
    <w:qFormat/>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f5"/>
    <w:qFormat/>
    <w:pPr>
      <w:numPr>
        <w:ilvl w:val="1"/>
        <w:numId w:val="2"/>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f5"/>
    <w:qFormat/>
    <w:pPr>
      <w:numPr>
        <w:ilvl w:val="2"/>
      </w:numPr>
      <w:spacing w:beforeLines="50" w:before="50" w:afterLines="50" w:after="50"/>
      <w:outlineLvl w:val="1"/>
    </w:pPr>
  </w:style>
  <w:style w:type="paragraph" w:customStyle="1" w:styleId="affffffe">
    <w:name w:val="标准文件_一致程度"/>
    <w:basedOn w:val="afff5"/>
    <w:qFormat/>
    <w:pPr>
      <w:spacing w:line="440" w:lineRule="exact"/>
      <w:jc w:val="center"/>
    </w:pPr>
    <w:rPr>
      <w:sz w:val="28"/>
    </w:rPr>
  </w:style>
  <w:style w:type="paragraph" w:customStyle="1" w:styleId="afffffff">
    <w:name w:val="标准文件_引言标题"/>
    <w:next w:val="afff5"/>
    <w:qFormat/>
    <w:pPr>
      <w:shd w:val="clear" w:color="FFFFFF" w:fill="FFFFFF"/>
      <w:spacing w:before="540" w:after="600"/>
      <w:jc w:val="center"/>
      <w:outlineLvl w:val="0"/>
    </w:pPr>
    <w:rPr>
      <w:rFonts w:ascii="黑体" w:eastAsia="黑体" w:hAnsi="Times New Roman"/>
      <w:sz w:val="32"/>
    </w:rPr>
  </w:style>
  <w:style w:type="paragraph" w:customStyle="1" w:styleId="afffffff0">
    <w:name w:val="标准文件_英文图表脚注"/>
    <w:basedOn w:val="afffff4"/>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jc w:val="both"/>
    </w:pPr>
    <w:rPr>
      <w:rFonts w:ascii="宋体" w:hAnsi="Times New Roman"/>
      <w:sz w:val="21"/>
    </w:rPr>
  </w:style>
  <w:style w:type="paragraph" w:customStyle="1" w:styleId="af">
    <w:name w:val="标准文件_英文注："/>
    <w:basedOn w:val="afff5"/>
    <w:next w:val="afffff5"/>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5"/>
    <w:qFormat/>
    <w:pPr>
      <w:numPr>
        <w:numId w:val="16"/>
      </w:numPr>
      <w:tabs>
        <w:tab w:val="left" w:pos="0"/>
      </w:tabs>
      <w:spacing w:beforeLines="50" w:before="50" w:afterLines="50" w:after="50"/>
      <w:jc w:val="center"/>
    </w:pPr>
    <w:rPr>
      <w:rFonts w:ascii="黑体" w:eastAsia="黑体" w:hAnsi="Times New Roman"/>
      <w:sz w:val="21"/>
    </w:rPr>
  </w:style>
  <w:style w:type="paragraph" w:customStyle="1" w:styleId="afffffff1">
    <w:name w:val="标准文件_正文公式"/>
    <w:basedOn w:val="afff5"/>
    <w:next w:val="afffff4"/>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5"/>
    <w:qFormat/>
    <w:pPr>
      <w:numPr>
        <w:numId w:val="17"/>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f5"/>
    <w:qFormat/>
    <w:pPr>
      <w:numPr>
        <w:numId w:val="18"/>
      </w:numPr>
      <w:jc w:val="center"/>
    </w:pPr>
    <w:rPr>
      <w:rFonts w:ascii="黑体" w:eastAsia="黑体" w:hAnsi="Times New Roman"/>
      <w:sz w:val="21"/>
    </w:rPr>
  </w:style>
  <w:style w:type="paragraph" w:customStyle="1" w:styleId="afb">
    <w:name w:val="标准文件_正文英文图标题"/>
    <w:next w:val="afffff5"/>
    <w:qFormat/>
    <w:pPr>
      <w:numPr>
        <w:numId w:val="19"/>
      </w:numPr>
      <w:jc w:val="center"/>
    </w:pPr>
    <w:rPr>
      <w:rFonts w:ascii="黑体" w:eastAsia="黑体" w:hAnsi="Times New Roman"/>
      <w:sz w:val="21"/>
    </w:rPr>
  </w:style>
  <w:style w:type="paragraph" w:customStyle="1" w:styleId="af7">
    <w:name w:val="标准文件_编号列项（三级）"/>
    <w:qFormat/>
    <w:pPr>
      <w:numPr>
        <w:ilvl w:val="2"/>
        <w:numId w:val="13"/>
      </w:numPr>
    </w:pPr>
    <w:rPr>
      <w:rFonts w:ascii="宋体" w:hAnsi="Times New Roman"/>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2">
    <w:name w:val="发布部门"/>
    <w:next w:val="afffff5"/>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3">
    <w:name w:val="发布日期"/>
    <w:qFormat/>
    <w:pPr>
      <w:framePr w:w="4000" w:h="473" w:hRule="exact" w:hSpace="180" w:vSpace="180" w:wrap="around" w:hAnchor="margin" w:y="13511" w:anchorLock="1"/>
    </w:pPr>
    <w:rPr>
      <w:rFonts w:ascii="Times New Roman" w:eastAsia="黑体" w:hAnsi="Times New Roman"/>
      <w:sz w:val="28"/>
    </w:rPr>
  </w:style>
  <w:style w:type="paragraph" w:customStyle="1" w:styleId="afffffff4">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6">
    <w:name w:val="封面标准文稿编辑信息"/>
    <w:qFormat/>
    <w:pPr>
      <w:spacing w:before="180" w:line="180" w:lineRule="exact"/>
      <w:jc w:val="center"/>
    </w:pPr>
    <w:rPr>
      <w:rFonts w:ascii="宋体" w:hAnsi="Times New Roman"/>
      <w:sz w:val="21"/>
    </w:rPr>
  </w:style>
  <w:style w:type="paragraph" w:customStyle="1" w:styleId="afffffff7">
    <w:name w:val="封面标准文稿类别"/>
    <w:qFormat/>
    <w:pPr>
      <w:spacing w:before="440" w:line="400" w:lineRule="exact"/>
      <w:jc w:val="center"/>
    </w:pPr>
    <w:rPr>
      <w:rFonts w:ascii="宋体" w:hAnsi="Times New Roman"/>
      <w:sz w:val="24"/>
    </w:rPr>
  </w:style>
  <w:style w:type="paragraph" w:customStyle="1" w:styleId="afffffff8">
    <w:name w:val="封面标准英文名称"/>
    <w:qFormat/>
    <w:pPr>
      <w:widowControl w:val="0"/>
      <w:spacing w:line="360" w:lineRule="exact"/>
      <w:jc w:val="center"/>
    </w:pPr>
    <w:rPr>
      <w:rFonts w:ascii="Times New Roman" w:hAnsi="Times New Roman"/>
      <w:sz w:val="28"/>
    </w:rPr>
  </w:style>
  <w:style w:type="paragraph" w:customStyle="1" w:styleId="afffffff9">
    <w:name w:val="封面一致性程度标识"/>
    <w:qFormat/>
    <w:pPr>
      <w:spacing w:before="440" w:line="440" w:lineRule="exact"/>
      <w:jc w:val="center"/>
    </w:pPr>
    <w:rPr>
      <w:rFonts w:ascii="Times New Roman" w:hAnsi="Times New Roman"/>
      <w:sz w:val="28"/>
    </w:rPr>
  </w:style>
  <w:style w:type="paragraph" w:customStyle="1" w:styleId="afffffffa">
    <w:name w:val="封面正文"/>
    <w:qFormat/>
    <w:pPr>
      <w:jc w:val="both"/>
    </w:pPr>
    <w:rPr>
      <w:rFonts w:ascii="Times New Roman" w:hAnsi="Times New Roman"/>
    </w:rPr>
  </w:style>
  <w:style w:type="paragraph" w:customStyle="1" w:styleId="afffffffb">
    <w:name w:val="附录二级无标题条"/>
    <w:basedOn w:val="afff5"/>
    <w:next w:val="afffff5"/>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5"/>
    <w:qFormat/>
    <w:pPr>
      <w:outlineLvl w:val="4"/>
    </w:pPr>
  </w:style>
  <w:style w:type="paragraph" w:customStyle="1" w:styleId="afffffffd">
    <w:name w:val="附录四级无标题条"/>
    <w:basedOn w:val="afffffffc"/>
    <w:next w:val="afffff5"/>
    <w:qFormat/>
    <w:pPr>
      <w:outlineLvl w:val="5"/>
    </w:pPr>
  </w:style>
  <w:style w:type="paragraph" w:customStyle="1" w:styleId="afffffffe">
    <w:name w:val="附录图"/>
    <w:next w:val="afffff5"/>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qFormat/>
    <w:pPr>
      <w:numPr>
        <w:numId w:val="21"/>
      </w:numPr>
    </w:pPr>
    <w:rPr>
      <w:rFonts w:ascii="宋体" w:hAnsi="Times New Roman"/>
      <w:sz w:val="21"/>
    </w:rPr>
  </w:style>
  <w:style w:type="paragraph" w:customStyle="1" w:styleId="affffffff">
    <w:name w:val="附录五级无标题条"/>
    <w:basedOn w:val="afffffffd"/>
    <w:next w:val="afffff5"/>
    <w:qFormat/>
    <w:pPr>
      <w:outlineLvl w:val="6"/>
    </w:pPr>
  </w:style>
  <w:style w:type="paragraph" w:customStyle="1" w:styleId="affffffff0">
    <w:name w:val="附录性质"/>
    <w:basedOn w:val="afff5"/>
    <w:qFormat/>
    <w:pPr>
      <w:widowControl/>
      <w:adjustRightInd/>
      <w:jc w:val="center"/>
    </w:pPr>
    <w:rPr>
      <w:rFonts w:ascii="黑体" w:eastAsia="黑体"/>
    </w:rPr>
  </w:style>
  <w:style w:type="paragraph" w:customStyle="1" w:styleId="affffffff1">
    <w:name w:val="附录一级无标题条"/>
    <w:basedOn w:val="affffff7"/>
    <w:next w:val="afffff5"/>
    <w:qFormat/>
    <w:pPr>
      <w:autoSpaceDN w:val="0"/>
      <w:outlineLvl w:val="2"/>
    </w:pPr>
    <w:rPr>
      <w:rFonts w:ascii="宋体" w:eastAsia="宋体" w:hAnsi="宋体"/>
    </w:rPr>
  </w:style>
  <w:style w:type="character" w:customStyle="1" w:styleId="affffffff2">
    <w:name w:val="个人答复风格"/>
    <w:qFormat/>
    <w:rPr>
      <w:rFonts w:ascii="Arial" w:eastAsia="宋体" w:hAnsi="Arial" w:cs="Arial"/>
      <w:color w:val="auto"/>
      <w:spacing w:val="0"/>
      <w:sz w:val="20"/>
    </w:rPr>
  </w:style>
  <w:style w:type="character" w:customStyle="1" w:styleId="affffffff3">
    <w:name w:val="个人撰写风格"/>
    <w:qFormat/>
    <w:rPr>
      <w:rFonts w:ascii="Arial" w:eastAsia="宋体" w:hAnsi="Arial" w:cs="Arial"/>
      <w:color w:val="auto"/>
      <w:spacing w:val="0"/>
      <w:sz w:val="20"/>
    </w:rPr>
  </w:style>
  <w:style w:type="paragraph" w:customStyle="1" w:styleId="affffffff4">
    <w:name w:val="脚注后续"/>
    <w:qFormat/>
    <w:pPr>
      <w:ind w:leftChars="350" w:left="350"/>
      <w:jc w:val="both"/>
    </w:pPr>
    <w:rPr>
      <w:rFonts w:ascii="宋体" w:hAnsi="Times New Roman"/>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5">
    <w:name w:val="列项·"/>
    <w:basedOn w:val="afffff5"/>
    <w:qFormat/>
    <w:pPr>
      <w:tabs>
        <w:tab w:val="left" w:pos="840"/>
      </w:tabs>
    </w:pPr>
  </w:style>
  <w:style w:type="paragraph" w:customStyle="1" w:styleId="affffffff6">
    <w:name w:val="目次、索引正文"/>
    <w:qFormat/>
    <w:pPr>
      <w:spacing w:line="320" w:lineRule="exact"/>
      <w:jc w:val="both"/>
    </w:pPr>
    <w:rPr>
      <w:rFonts w:ascii="宋体" w:hAnsi="Times New Roman"/>
      <w:sz w:val="21"/>
    </w:rPr>
  </w:style>
  <w:style w:type="paragraph" w:customStyle="1" w:styleId="210">
    <w:name w:val="目录 21"/>
    <w:basedOn w:val="afff5"/>
    <w:next w:val="afff5"/>
    <w:autoRedefine/>
    <w:semiHidden/>
    <w:qFormat/>
    <w:pPr>
      <w:adjustRightInd/>
      <w:spacing w:line="240" w:lineRule="auto"/>
      <w:jc w:val="left"/>
    </w:pPr>
    <w:rPr>
      <w:bCs/>
      <w:iCs/>
    </w:rPr>
  </w:style>
  <w:style w:type="paragraph" w:customStyle="1" w:styleId="310">
    <w:name w:val="目录 31"/>
    <w:basedOn w:val="afff5"/>
    <w:next w:val="afff5"/>
    <w:autoRedefine/>
    <w:semiHidden/>
    <w:qFormat/>
    <w:pPr>
      <w:spacing w:line="240" w:lineRule="auto"/>
    </w:pPr>
    <w:rPr>
      <w:rFonts w:ascii="宋体" w:hAnsi="宋体"/>
      <w:iCs/>
    </w:rPr>
  </w:style>
  <w:style w:type="paragraph" w:customStyle="1" w:styleId="410">
    <w:name w:val="目录 41"/>
    <w:basedOn w:val="afff5"/>
    <w:next w:val="afff5"/>
    <w:autoRedefine/>
    <w:semiHidden/>
    <w:qFormat/>
    <w:pPr>
      <w:adjustRightInd/>
      <w:spacing w:line="240" w:lineRule="auto"/>
      <w:jc w:val="left"/>
    </w:pPr>
  </w:style>
  <w:style w:type="paragraph" w:customStyle="1" w:styleId="510">
    <w:name w:val="目录 51"/>
    <w:basedOn w:val="afff5"/>
    <w:next w:val="afff5"/>
    <w:autoRedefine/>
    <w:semiHidden/>
    <w:qFormat/>
    <w:pPr>
      <w:spacing w:line="240" w:lineRule="auto"/>
    </w:pPr>
    <w:rPr>
      <w:rFonts w:ascii="宋体" w:hAnsi="宋体"/>
    </w:rPr>
  </w:style>
  <w:style w:type="paragraph" w:customStyle="1" w:styleId="610">
    <w:name w:val="目录 61"/>
    <w:basedOn w:val="afff5"/>
    <w:next w:val="afff5"/>
    <w:autoRedefine/>
    <w:semiHidden/>
    <w:qFormat/>
    <w:pPr>
      <w:adjustRightInd/>
      <w:spacing w:line="240" w:lineRule="auto"/>
      <w:jc w:val="left"/>
    </w:pPr>
  </w:style>
  <w:style w:type="paragraph" w:customStyle="1" w:styleId="710">
    <w:name w:val="目录 71"/>
    <w:basedOn w:val="610"/>
    <w:autoRedefine/>
    <w:semiHidden/>
    <w:qFormat/>
    <w:pPr>
      <w:ind w:left="1260"/>
    </w:pPr>
  </w:style>
  <w:style w:type="paragraph" w:customStyle="1" w:styleId="81">
    <w:name w:val="目录 81"/>
    <w:basedOn w:val="710"/>
    <w:autoRedefine/>
    <w:semiHidden/>
    <w:qFormat/>
    <w:pPr>
      <w:ind w:left="1470"/>
    </w:pPr>
  </w:style>
  <w:style w:type="paragraph" w:customStyle="1" w:styleId="91">
    <w:name w:val="目录 91"/>
    <w:basedOn w:val="81"/>
    <w:autoRedefine/>
    <w:semiHidden/>
    <w:qFormat/>
    <w:pPr>
      <w:ind w:left="1680"/>
    </w:pPr>
  </w:style>
  <w:style w:type="paragraph" w:customStyle="1" w:styleId="affffffff7">
    <w:name w:val="其他标准称谓"/>
    <w:qFormat/>
    <w:pPr>
      <w:spacing w:line="0" w:lineRule="atLeast"/>
      <w:jc w:val="distribute"/>
    </w:pPr>
    <w:rPr>
      <w:rFonts w:ascii="黑体" w:eastAsia="黑体" w:hAnsi="宋体"/>
      <w:sz w:val="52"/>
    </w:rPr>
  </w:style>
  <w:style w:type="paragraph" w:customStyle="1" w:styleId="affffffff8">
    <w:name w:val="其他发布部门"/>
    <w:basedOn w:val="afffffff2"/>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9">
    <w:name w:val="实施日期"/>
    <w:basedOn w:val="afffffff3"/>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a">
    <w:name w:val="文献分类号"/>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b">
    <w:name w:val="无标题条"/>
    <w:next w:val="afffff5"/>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c">
    <w:name w:val="注:后续"/>
    <w:qFormat/>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qFormat/>
    <w:pPr>
      <w:ind w:leftChars="0" w:left="1406" w:firstLineChars="0" w:hanging="499"/>
    </w:pPr>
  </w:style>
  <w:style w:type="paragraph" w:customStyle="1" w:styleId="affffffffe">
    <w:name w:val="标准文件_一级无标题"/>
    <w:basedOn w:val="affd"/>
    <w:qFormat/>
    <w:pPr>
      <w:spacing w:beforeLines="0" w:before="0" w:afterLines="0" w:after="0"/>
      <w:outlineLvl w:val="9"/>
    </w:pPr>
    <w:rPr>
      <w:rFonts w:ascii="宋体" w:eastAsia="宋体"/>
    </w:rPr>
  </w:style>
  <w:style w:type="paragraph" w:customStyle="1" w:styleId="afffffffff">
    <w:name w:val="标准文件_五级无标题"/>
    <w:basedOn w:val="afff1"/>
    <w:qFormat/>
    <w:pPr>
      <w:spacing w:beforeLines="0" w:before="0" w:afterLines="0" w:after="0"/>
      <w:outlineLvl w:val="9"/>
    </w:pPr>
    <w:rPr>
      <w:rFonts w:ascii="宋体" w:eastAsia="宋体"/>
    </w:rPr>
  </w:style>
  <w:style w:type="paragraph" w:customStyle="1" w:styleId="afffffffff0">
    <w:name w:val="标准文件_三级无标题"/>
    <w:basedOn w:val="afff"/>
    <w:qFormat/>
    <w:pPr>
      <w:spacing w:beforeLines="0" w:before="0" w:afterLines="0" w:after="0"/>
      <w:outlineLvl w:val="9"/>
    </w:pPr>
    <w:rPr>
      <w:rFonts w:ascii="宋体" w:eastAsia="宋体"/>
    </w:rPr>
  </w:style>
  <w:style w:type="paragraph" w:customStyle="1" w:styleId="afffffffff1">
    <w:name w:val="标准文件_二级无标题"/>
    <w:basedOn w:val="affe"/>
    <w:qFormat/>
    <w:pPr>
      <w:spacing w:beforeLines="0" w:before="0" w:afterLines="0" w:after="0"/>
      <w:outlineLvl w:val="9"/>
    </w:pPr>
    <w:rPr>
      <w:rFonts w:ascii="宋体" w:eastAsia="宋体"/>
    </w:rPr>
  </w:style>
  <w:style w:type="paragraph" w:customStyle="1" w:styleId="afffffffff2">
    <w:name w:val="标准_四级无标题"/>
    <w:basedOn w:val="afff0"/>
    <w:next w:val="afffff5"/>
    <w:qFormat/>
    <w:rPr>
      <w:rFonts w:eastAsia="宋体"/>
    </w:rPr>
  </w:style>
  <w:style w:type="paragraph" w:customStyle="1" w:styleId="afffffffff3">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5"/>
    <w:qFormat/>
    <w:pPr>
      <w:numPr>
        <w:numId w:val="23"/>
      </w:numPr>
      <w:ind w:firstLineChars="0" w:firstLine="0"/>
    </w:pPr>
    <w:rPr>
      <w:rFonts w:ascii="Times New Roman" w:cs="Arial"/>
      <w:szCs w:val="28"/>
    </w:rPr>
  </w:style>
  <w:style w:type="paragraph" w:customStyle="1" w:styleId="ae">
    <w:name w:val="标准文件_小写罗马数字编号列项"/>
    <w:basedOn w:val="afffff5"/>
    <w:qFormat/>
    <w:pPr>
      <w:numPr>
        <w:numId w:val="24"/>
      </w:numPr>
      <w:ind w:firstLineChars="0" w:firstLine="0"/>
    </w:pPr>
    <w:rPr>
      <w:rFonts w:cs="Arial"/>
      <w:szCs w:val="28"/>
    </w:rPr>
  </w:style>
  <w:style w:type="paragraph" w:customStyle="1" w:styleId="afffffffff4">
    <w:name w:val="标准文件_附录标题"/>
    <w:basedOn w:val="aff3"/>
    <w:qFormat/>
    <w:pPr>
      <w:numPr>
        <w:numId w:val="0"/>
      </w:numPr>
      <w:spacing w:after="280"/>
      <w:outlineLvl w:val="9"/>
    </w:pPr>
  </w:style>
  <w:style w:type="paragraph" w:customStyle="1" w:styleId="afffffffff5">
    <w:name w:val="标准文件_二级项"/>
    <w:qFormat/>
    <w:rPr>
      <w:rFonts w:ascii="宋体" w:hAnsi="Times New Roman"/>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5"/>
    <w:qFormat/>
    <w:pPr>
      <w:numPr>
        <w:numId w:val="25"/>
      </w:numPr>
      <w:adjustRightInd/>
      <w:spacing w:line="240" w:lineRule="auto"/>
    </w:pPr>
    <w:rPr>
      <w:rFonts w:ascii="宋体" w:hAnsi="Times New Roman"/>
      <w:sz w:val="18"/>
      <w:szCs w:val="18"/>
    </w:rPr>
  </w:style>
  <w:style w:type="paragraph" w:customStyle="1" w:styleId="af5">
    <w:name w:val="标准文件_字母编号列项（一级）"/>
    <w:qFormat/>
    <w:pPr>
      <w:numPr>
        <w:numId w:val="13"/>
      </w:numPr>
      <w:jc w:val="both"/>
    </w:pPr>
    <w:rPr>
      <w:rFonts w:ascii="宋体" w:hAnsi="Times New Roman"/>
      <w:sz w:val="21"/>
    </w:rPr>
  </w:style>
  <w:style w:type="paragraph" w:customStyle="1" w:styleId="afffffffff6">
    <w:name w:val="标准文件_索引字母"/>
    <w:next w:val="afffff5"/>
    <w:qFormat/>
    <w:pPr>
      <w:jc w:val="center"/>
    </w:pPr>
    <w:rPr>
      <w:rFonts w:ascii="宋体" w:eastAsia="Times New Roman" w:hAnsi="宋体"/>
      <w:b/>
      <w:kern w:val="2"/>
      <w:sz w:val="21"/>
    </w:rPr>
  </w:style>
  <w:style w:type="paragraph" w:customStyle="1" w:styleId="afffffffff7">
    <w:name w:val="标准文件_附录前"/>
    <w:next w:val="afffff5"/>
    <w:qFormat/>
    <w:pPr>
      <w:spacing w:line="20" w:lineRule="atLeast"/>
      <w:ind w:firstLine="200"/>
    </w:pPr>
    <w:rPr>
      <w:rFonts w:ascii="宋体" w:hAnsi="宋体"/>
      <w:kern w:val="2"/>
      <w:sz w:val="10"/>
    </w:rPr>
  </w:style>
  <w:style w:type="paragraph" w:customStyle="1" w:styleId="afffffffff8">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f5"/>
    <w:qFormat/>
    <w:pPr>
      <w:ind w:firstLineChars="0" w:firstLine="0"/>
      <w:jc w:val="center"/>
    </w:pPr>
    <w:rPr>
      <w:sz w:val="18"/>
    </w:rPr>
  </w:style>
  <w:style w:type="paragraph" w:customStyle="1" w:styleId="afff2">
    <w:name w:val="标准文件_注："/>
    <w:next w:val="afffff5"/>
    <w:qFormat/>
    <w:pPr>
      <w:widowControl w:val="0"/>
      <w:numPr>
        <w:numId w:val="26"/>
      </w:numPr>
      <w:autoSpaceDE w:val="0"/>
      <w:autoSpaceDN w:val="0"/>
      <w:jc w:val="both"/>
    </w:pPr>
    <w:rPr>
      <w:rFonts w:ascii="宋体" w:hAnsi="Times New Roman"/>
      <w:sz w:val="18"/>
      <w:szCs w:val="18"/>
    </w:rPr>
  </w:style>
  <w:style w:type="paragraph" w:customStyle="1" w:styleId="a5">
    <w:name w:val="标准文件_注×："/>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a"/>
    <w:qFormat/>
    <w:pPr>
      <w:widowControl w:val="0"/>
      <w:numPr>
        <w:numId w:val="28"/>
      </w:numPr>
      <w:jc w:val="both"/>
    </w:pPr>
    <w:rPr>
      <w:rFonts w:ascii="宋体" w:hAnsi="Times New Roman"/>
      <w:sz w:val="18"/>
      <w:szCs w:val="18"/>
    </w:rPr>
  </w:style>
  <w:style w:type="paragraph" w:customStyle="1" w:styleId="afffffffffa">
    <w:name w:val="标准文件_示例内容"/>
    <w:basedOn w:val="afffff5"/>
    <w:qFormat/>
    <w:pPr>
      <w:ind w:firstLine="420"/>
    </w:pPr>
    <w:rPr>
      <w:sz w:val="18"/>
    </w:rPr>
  </w:style>
  <w:style w:type="paragraph" w:customStyle="1" w:styleId="afa">
    <w:name w:val="标准文件_示例×："/>
    <w:basedOn w:val="afff5"/>
    <w:next w:val="afffffffffa"/>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5"/>
    <w:qFormat/>
    <w:rPr>
      <w:rFonts w:ascii="宋体" w:hAnsi="Times New Roman"/>
      <w:sz w:val="21"/>
    </w:rPr>
  </w:style>
  <w:style w:type="paragraph" w:customStyle="1" w:styleId="afffffffffb">
    <w:name w:val="标准文件_表格续"/>
    <w:basedOn w:val="afffff5"/>
    <w:next w:val="afffff5"/>
    <w:qFormat/>
    <w:pPr>
      <w:jc w:val="center"/>
    </w:pPr>
    <w:rPr>
      <w:rFonts w:ascii="黑体" w:eastAsia="黑体" w:hAnsi="黑体"/>
    </w:rPr>
  </w:style>
  <w:style w:type="character" w:styleId="afffffffffc">
    <w:name w:val="Placeholder Text"/>
    <w:basedOn w:val="afff6"/>
    <w:uiPriority w:val="99"/>
    <w:semiHidden/>
    <w:qFormat/>
    <w:rPr>
      <w:color w:val="808080"/>
    </w:rPr>
  </w:style>
  <w:style w:type="paragraph" w:customStyle="1" w:styleId="2">
    <w:name w:val="标准文件_二级项2"/>
    <w:basedOn w:val="afffff5"/>
    <w:qFormat/>
    <w:pPr>
      <w:numPr>
        <w:ilvl w:val="1"/>
        <w:numId w:val="21"/>
      </w:numPr>
      <w:ind w:firstLineChars="0" w:firstLine="0"/>
    </w:pPr>
  </w:style>
  <w:style w:type="paragraph" w:customStyle="1" w:styleId="21">
    <w:name w:val="标准文件_三级项2"/>
    <w:basedOn w:val="afffff5"/>
    <w:qFormat/>
    <w:pPr>
      <w:numPr>
        <w:numId w:val="30"/>
      </w:numPr>
      <w:spacing w:line="300" w:lineRule="exact"/>
      <w:ind w:firstLineChars="0"/>
    </w:pPr>
    <w:rPr>
      <w:rFonts w:ascii="Times New Roman"/>
    </w:rPr>
  </w:style>
  <w:style w:type="paragraph" w:customStyle="1" w:styleId="20">
    <w:name w:val="标准文件_一级项2"/>
    <w:basedOn w:val="afffff5"/>
    <w:qFormat/>
    <w:pPr>
      <w:numPr>
        <w:numId w:val="31"/>
      </w:numPr>
      <w:spacing w:line="300" w:lineRule="exact"/>
      <w:ind w:firstLineChars="0"/>
    </w:pPr>
    <w:rPr>
      <w:rFonts w:ascii="Times New Roman"/>
    </w:rPr>
  </w:style>
  <w:style w:type="paragraph" w:customStyle="1" w:styleId="afffffffffd">
    <w:name w:val="标准文件_提示"/>
    <w:basedOn w:val="afffff5"/>
    <w:next w:val="afffff5"/>
    <w:qFormat/>
    <w:pPr>
      <w:ind w:firstLine="420"/>
    </w:pPr>
    <w:rPr>
      <w:rFonts w:ascii="黑体" w:eastAsia="黑体"/>
    </w:rPr>
  </w:style>
  <w:style w:type="character" w:customStyle="1" w:styleId="afffffffffe">
    <w:name w:val="标准文件_来源"/>
    <w:basedOn w:val="afff6"/>
    <w:uiPriority w:val="1"/>
    <w:qFormat/>
    <w:rPr>
      <w:rFonts w:eastAsia="宋体"/>
      <w:sz w:val="21"/>
    </w:rPr>
  </w:style>
  <w:style w:type="paragraph" w:customStyle="1" w:styleId="affffffffff">
    <w:name w:val="标准文件_图表说明"/>
    <w:qFormat/>
    <w:pPr>
      <w:spacing w:line="276" w:lineRule="auto"/>
      <w:ind w:firstLine="420"/>
    </w:pPr>
    <w:rPr>
      <w:rFonts w:ascii="宋体" w:hAnsi="宋体"/>
      <w:kern w:val="2"/>
      <w:sz w:val="18"/>
    </w:rPr>
  </w:style>
  <w:style w:type="paragraph" w:customStyle="1" w:styleId="affffffffff0">
    <w:name w:val="其他发布日期"/>
    <w:basedOn w:val="afffffff3"/>
    <w:qFormat/>
    <w:pPr>
      <w:framePr w:w="3997" w:h="471" w:hRule="exact" w:hSpace="0" w:vSpace="181" w:wrap="around" w:vAnchor="page" w:hAnchor="page" w:x="1419" w:y="14097"/>
    </w:pPr>
  </w:style>
  <w:style w:type="paragraph" w:customStyle="1" w:styleId="affffffffff1">
    <w:name w:val="其他实施日期"/>
    <w:basedOn w:val="affffffff9"/>
    <w:qFormat/>
    <w:pPr>
      <w:framePr w:w="3997" w:h="471" w:hRule="exact" w:vSpace="181" w:wrap="around" w:vAnchor="page" w:hAnchor="page" w:x="7089" w:y="14097"/>
    </w:pPr>
  </w:style>
  <w:style w:type="paragraph" w:customStyle="1" w:styleId="affffffffff2">
    <w:name w:val="标准文件_文件编号"/>
    <w:basedOn w:val="afffff5"/>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qFormat/>
    <w:pPr>
      <w:framePr w:wrap="auto"/>
      <w:spacing w:before="57"/>
    </w:pPr>
    <w:rPr>
      <w:sz w:val="21"/>
    </w:rPr>
  </w:style>
  <w:style w:type="paragraph" w:customStyle="1" w:styleId="affffffffff4">
    <w:name w:val="标准文件_文件名称"/>
    <w:basedOn w:val="afffff5"/>
    <w:next w:val="afffff5"/>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5"/>
    <w:next w:val="afffff5"/>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5"/>
    <w:next w:val="afffff5"/>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5"/>
    <w:next w:val="afffff5"/>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5"/>
    <w:next w:val="afffff5"/>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5"/>
    <w:next w:val="afffff5"/>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5"/>
    <w:next w:val="afffff5"/>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5"/>
    <w:next w:val="afffff5"/>
    <w:qFormat/>
    <w:pPr>
      <w:numPr>
        <w:ilvl w:val="5"/>
        <w:numId w:val="8"/>
      </w:numPr>
      <w:spacing w:beforeLines="50" w:before="50" w:afterLines="50" w:after="50"/>
      <w:ind w:firstLineChars="0"/>
    </w:pPr>
    <w:rPr>
      <w:rFonts w:ascii="黑体" w:eastAsia="黑体"/>
    </w:rPr>
  </w:style>
  <w:style w:type="paragraph" w:customStyle="1" w:styleId="affffffffff5">
    <w:name w:val="标准文件_注后"/>
    <w:basedOn w:val="afffff5"/>
    <w:qFormat/>
    <w:pPr>
      <w:ind w:left="811" w:firstLineChars="0" w:firstLine="0"/>
    </w:pPr>
    <w:rPr>
      <w:sz w:val="18"/>
    </w:rPr>
  </w:style>
  <w:style w:type="paragraph" w:customStyle="1" w:styleId="X">
    <w:name w:val="标准文件_注X后"/>
    <w:basedOn w:val="afffff5"/>
    <w:qFormat/>
    <w:pPr>
      <w:ind w:left="811" w:firstLineChars="0" w:firstLine="0"/>
    </w:pPr>
    <w:rPr>
      <w:sz w:val="18"/>
    </w:rPr>
  </w:style>
  <w:style w:type="paragraph" w:customStyle="1" w:styleId="affffffffff6">
    <w:name w:val="标准文件_示例后"/>
    <w:basedOn w:val="afffff5"/>
    <w:qFormat/>
    <w:pPr>
      <w:ind w:left="964" w:firstLineChars="0" w:firstLine="0"/>
    </w:pPr>
    <w:rPr>
      <w:sz w:val="18"/>
    </w:rPr>
  </w:style>
  <w:style w:type="paragraph" w:customStyle="1" w:styleId="X0">
    <w:name w:val="标准文件_示例X后"/>
    <w:basedOn w:val="afffff5"/>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7">
    <w:name w:val="标准文件_索引项"/>
    <w:basedOn w:val="afffff5"/>
    <w:next w:val="afffff5"/>
    <w:qFormat/>
    <w:pPr>
      <w:tabs>
        <w:tab w:val="right" w:leader="dot" w:pos="9356"/>
      </w:tabs>
      <w:ind w:left="210" w:firstLineChars="0" w:hanging="210"/>
      <w:jc w:val="left"/>
    </w:pPr>
  </w:style>
  <w:style w:type="paragraph" w:customStyle="1" w:styleId="affffffffff8">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5"/>
    <w:qFormat/>
    <w:pPr>
      <w:spacing w:beforeLines="0" w:before="0" w:afterLines="0" w:after="0" w:line="276" w:lineRule="auto"/>
    </w:pPr>
    <w:rPr>
      <w:rFonts w:ascii="宋体" w:eastAsia="宋体"/>
    </w:rPr>
  </w:style>
  <w:style w:type="paragraph" w:customStyle="1" w:styleId="affffffffffe">
    <w:name w:val="标准文件_引言二级无标题"/>
    <w:basedOn w:val="a8"/>
    <w:next w:val="afffff5"/>
    <w:qFormat/>
    <w:pPr>
      <w:spacing w:beforeLines="0" w:before="0" w:afterLines="0" w:after="0" w:line="276" w:lineRule="auto"/>
    </w:pPr>
    <w:rPr>
      <w:rFonts w:ascii="宋体" w:eastAsia="宋体"/>
    </w:rPr>
  </w:style>
  <w:style w:type="paragraph" w:customStyle="1" w:styleId="afffffffffff">
    <w:name w:val="标准文件_引言三级无标题"/>
    <w:basedOn w:val="a9"/>
    <w:qFormat/>
    <w:pPr>
      <w:spacing w:beforeLines="0" w:before="0" w:afterLines="0" w:after="0" w:line="276" w:lineRule="auto"/>
    </w:pPr>
    <w:rPr>
      <w:rFonts w:ascii="宋体" w:eastAsia="宋体"/>
    </w:rPr>
  </w:style>
  <w:style w:type="paragraph" w:customStyle="1" w:styleId="afffffffffff0">
    <w:name w:val="标准文件_引言四级无标题"/>
    <w:basedOn w:val="aa"/>
    <w:next w:val="afffff5"/>
    <w:qFormat/>
    <w:pPr>
      <w:spacing w:beforeLines="0" w:before="0" w:afterLines="0" w:after="0" w:line="276" w:lineRule="auto"/>
    </w:pPr>
    <w:rPr>
      <w:rFonts w:ascii="宋体" w:eastAsia="宋体"/>
    </w:rPr>
  </w:style>
  <w:style w:type="paragraph" w:customStyle="1" w:styleId="afffffffffff1">
    <w:name w:val="标准文件_引言五级无标题"/>
    <w:basedOn w:val="ab"/>
    <w:next w:val="afffff5"/>
    <w:qFormat/>
    <w:pPr>
      <w:spacing w:beforeLines="0" w:before="0" w:afterLines="0" w:after="0" w:line="276" w:lineRule="auto"/>
    </w:pPr>
    <w:rPr>
      <w:rFonts w:ascii="宋体" w:eastAsia="宋体"/>
    </w:rPr>
  </w:style>
  <w:style w:type="paragraph" w:customStyle="1" w:styleId="afffffffffff2">
    <w:name w:val="标准文件_索引标题"/>
    <w:basedOn w:val="afffffc"/>
    <w:next w:val="afffff5"/>
    <w:qFormat/>
    <w:rPr>
      <w:rFonts w:hAnsi="黑体"/>
    </w:rPr>
  </w:style>
  <w:style w:type="paragraph" w:customStyle="1" w:styleId="afffffffffff3">
    <w:name w:val="标准文件_脚注内容"/>
    <w:basedOn w:val="afffff5"/>
    <w:qFormat/>
    <w:pPr>
      <w:ind w:leftChars="200" w:left="400" w:hangingChars="200" w:hanging="200"/>
    </w:pPr>
    <w:rPr>
      <w:sz w:val="15"/>
    </w:rPr>
  </w:style>
  <w:style w:type="paragraph" w:customStyle="1" w:styleId="afffffffffff4">
    <w:name w:val="标准文件_术语条一"/>
    <w:basedOn w:val="affffffffe"/>
    <w:next w:val="afffff5"/>
    <w:qFormat/>
  </w:style>
  <w:style w:type="paragraph" w:customStyle="1" w:styleId="afffffffffff5">
    <w:name w:val="标准文件_术语条二"/>
    <w:basedOn w:val="afffffffff1"/>
    <w:next w:val="afffff5"/>
    <w:qFormat/>
  </w:style>
  <w:style w:type="paragraph" w:customStyle="1" w:styleId="afffffffffff6">
    <w:name w:val="标准文件_术语条三"/>
    <w:basedOn w:val="afffffffff0"/>
    <w:next w:val="afffff5"/>
    <w:qFormat/>
  </w:style>
  <w:style w:type="paragraph" w:customStyle="1" w:styleId="afffffffffff7">
    <w:name w:val="标准文件_术语条四"/>
    <w:basedOn w:val="afffffffff3"/>
    <w:next w:val="afffff5"/>
    <w:qFormat/>
  </w:style>
  <w:style w:type="paragraph" w:customStyle="1" w:styleId="afffffffffff8">
    <w:name w:val="标准文件_术语条五"/>
    <w:basedOn w:val="afffffffff"/>
    <w:next w:val="afffff5"/>
    <w:qFormat/>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fffffffff9">
    <w:name w:val="发布"/>
    <w:basedOn w:val="afff6"/>
    <w:qFormat/>
    <w:rPr>
      <w:rFonts w:ascii="黑体" w:eastAsia="黑体"/>
      <w:spacing w:val="85"/>
      <w:w w:val="100"/>
      <w:position w:val="3"/>
      <w:sz w:val="28"/>
      <w:szCs w:val="28"/>
    </w:rPr>
  </w:style>
  <w:style w:type="paragraph" w:styleId="afffffffffffa">
    <w:name w:val="List Paragraph"/>
    <w:basedOn w:val="afff5"/>
    <w:uiPriority w:val="34"/>
    <w:qFormat/>
    <w:pPr>
      <w:ind w:firstLineChars="200" w:firstLine="420"/>
    </w:pPr>
  </w:style>
  <w:style w:type="character" w:customStyle="1" w:styleId="15">
    <w:name w:val="15"/>
    <w:basedOn w:val="afff6"/>
    <w:qFormat/>
    <w:rPr>
      <w:rFonts w:ascii="Times New Roman" w:hAnsi="Times New Roman" w:cs="Times New Roman" w:hint="default"/>
      <w:color w:val="000000"/>
      <w:sz w:val="20"/>
      <w:szCs w:val="20"/>
    </w:rPr>
  </w:style>
  <w:style w:type="character" w:customStyle="1" w:styleId="16">
    <w:name w:val="16"/>
    <w:basedOn w:val="afff6"/>
    <w:qFormat/>
    <w:rPr>
      <w:rFonts w:ascii="宋体" w:eastAsia="宋体" w:hAnsi="宋体" w:hint="eastAsia"/>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2.png"/><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footer" Target="footer8.xml"/><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footer" Target="footer5.xml"/><Relationship Id="rId27" Type="http://schemas.openxmlformats.org/officeDocument/2006/relationships/footer" Target="footer7.xml"/><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F0B1126D5184D1C984DA7B9234FB958"/>
        <w:category>
          <w:name w:val="常规"/>
          <w:gallery w:val="placeholder"/>
        </w:category>
        <w:types>
          <w:type w:val="bbPlcHdr"/>
        </w:types>
        <w:behaviors>
          <w:behavior w:val="content"/>
        </w:behaviors>
        <w:guid w:val="{D3FF8636-7722-4B64-97AD-67699D5F3FD0}"/>
      </w:docPartPr>
      <w:docPartBody>
        <w:p w:rsidR="0018432F" w:rsidRDefault="00AB3A38">
          <w:pPr>
            <w:pStyle w:val="8F0B1126D5184D1C984DA7B9234FB958"/>
          </w:pPr>
          <w:r>
            <w:rPr>
              <w:rStyle w:val="a3"/>
              <w:rFonts w:hint="eastAsia"/>
            </w:rPr>
            <w:t>单击或点击此处输入文字。</w:t>
          </w:r>
        </w:p>
      </w:docPartBody>
    </w:docPart>
    <w:docPart>
      <w:docPartPr>
        <w:name w:val="7EB45DC881E2420BA4EFC1AE070EBF81"/>
        <w:category>
          <w:name w:val="常规"/>
          <w:gallery w:val="placeholder"/>
        </w:category>
        <w:types>
          <w:type w:val="bbPlcHdr"/>
        </w:types>
        <w:behaviors>
          <w:behavior w:val="content"/>
        </w:behaviors>
        <w:guid w:val="{1B7A3225-8DC8-4966-916B-821D9C93F9DE}"/>
      </w:docPartPr>
      <w:docPartBody>
        <w:p w:rsidR="0018432F" w:rsidRDefault="00AB3A38">
          <w:pPr>
            <w:pStyle w:val="7EB45DC881E2420BA4EFC1AE070EBF81"/>
          </w:pPr>
          <w:r>
            <w:rPr>
              <w:rStyle w:val="a3"/>
              <w:rFonts w:hint="eastAsia"/>
            </w:rPr>
            <w:t>选择一项。</w:t>
          </w:r>
        </w:p>
      </w:docPartBody>
    </w:docPart>
    <w:docPart>
      <w:docPartPr>
        <w:name w:val="344AC2133E6B4B54A3ADFF8AAF93D82C"/>
        <w:category>
          <w:name w:val="常规"/>
          <w:gallery w:val="placeholder"/>
        </w:category>
        <w:types>
          <w:type w:val="bbPlcHdr"/>
        </w:types>
        <w:behaviors>
          <w:behavior w:val="content"/>
        </w:behaviors>
        <w:guid w:val="{85216602-B9C9-49C1-A2CB-DDFA87D91244}"/>
      </w:docPartPr>
      <w:docPartBody>
        <w:p w:rsidR="0018432F" w:rsidRDefault="00AB3A38">
          <w:pPr>
            <w:pStyle w:val="344AC2133E6B4B54A3ADFF8AAF93D82C"/>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21F6"/>
    <w:rsid w:val="000F458D"/>
    <w:rsid w:val="0018432F"/>
    <w:rsid w:val="003A1E41"/>
    <w:rsid w:val="00665CAE"/>
    <w:rsid w:val="00887A7C"/>
    <w:rsid w:val="0092724A"/>
    <w:rsid w:val="00AB05ED"/>
    <w:rsid w:val="00AB3A38"/>
    <w:rsid w:val="00AC2CC8"/>
    <w:rsid w:val="00B221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8F0B1126D5184D1C984DA7B9234FB958">
    <w:name w:val="8F0B1126D5184D1C984DA7B9234FB958"/>
    <w:qFormat/>
    <w:pPr>
      <w:widowControl w:val="0"/>
      <w:jc w:val="both"/>
    </w:pPr>
    <w:rPr>
      <w:kern w:val="2"/>
      <w:sz w:val="21"/>
      <w:szCs w:val="22"/>
    </w:rPr>
  </w:style>
  <w:style w:type="paragraph" w:customStyle="1" w:styleId="7EB45DC881E2420BA4EFC1AE070EBF81">
    <w:name w:val="7EB45DC881E2420BA4EFC1AE070EBF81"/>
    <w:qFormat/>
    <w:pPr>
      <w:widowControl w:val="0"/>
      <w:jc w:val="both"/>
    </w:pPr>
    <w:rPr>
      <w:kern w:val="2"/>
      <w:sz w:val="21"/>
      <w:szCs w:val="22"/>
    </w:rPr>
  </w:style>
  <w:style w:type="paragraph" w:customStyle="1" w:styleId="344AC2133E6B4B54A3ADFF8AAF93D82C">
    <w:name w:val="344AC2133E6B4B54A3ADFF8AAF93D82C"/>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345F329-2366-4E9F-93B7-F5E664B9E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地方标准.dotx</Template>
  <TotalTime>11</TotalTime>
  <Pages>49</Pages>
  <Words>4439</Words>
  <Characters>25303</Characters>
  <Application>Microsoft Office Word</Application>
  <DocSecurity>0</DocSecurity>
  <Lines>210</Lines>
  <Paragraphs>59</Paragraphs>
  <ScaleCrop>false</ScaleCrop>
  <Company>PCMI</Company>
  <LinksUpToDate>false</LinksUpToDate>
  <CharactersWithSpaces>29683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Administrator</dc:creator>
  <cp:lastModifiedBy>Admin</cp:lastModifiedBy>
  <cp:revision>20</cp:revision>
  <cp:lastPrinted>2025-01-08T03:07:00Z</cp:lastPrinted>
  <dcterms:created xsi:type="dcterms:W3CDTF">2025-01-08T01:13:00Z</dcterms:created>
  <dcterms:modified xsi:type="dcterms:W3CDTF">2025-01-24T06:19:00Z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TemplateDocerSaveRecord">
    <vt:lpwstr>eyJoZGlkIjoiMTExMDg0YmIwMTcxOWM2OTZkZjY0YmE5NTFiNTNmYzAiLCJ1c2VySWQiOiI2OTEyODk2OTAifQ==</vt:lpwstr>
  </property>
  <property fmtid="{D5CDD505-2E9C-101B-9397-08002B2CF9AE}" pid="16" name="KSOProductBuildVer">
    <vt:lpwstr>2052-12.1.0.19770</vt:lpwstr>
  </property>
  <property fmtid="{D5CDD505-2E9C-101B-9397-08002B2CF9AE}" pid="17" name="ICV">
    <vt:lpwstr>224CDD73E4294312AB30DC20F3971295_13</vt:lpwstr>
  </property>
</Properties>
</file>